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2747" w14:textId="77777777" w:rsidR="00830ED3" w:rsidRDefault="00000000">
      <w:pPr>
        <w:spacing w:line="360" w:lineRule="auto"/>
        <w:rPr>
          <w:rFonts w:ascii="SimHei" w:eastAsia="SimHei" w:hAnsi="SimHei" w:cs="SimHei"/>
          <w:b/>
          <w:bCs/>
          <w:sz w:val="32"/>
          <w:szCs w:val="40"/>
        </w:rPr>
      </w:pPr>
      <w:r>
        <w:rPr>
          <w:rFonts w:ascii="SimHei" w:eastAsia="SimHei" w:hAnsi="SimHei" w:cs="SimHei" w:hint="eastAsia"/>
          <w:b/>
          <w:bCs/>
          <w:sz w:val="32"/>
          <w:szCs w:val="40"/>
        </w:rPr>
        <w:t>宁波浙海关旧址博物馆</w:t>
      </w:r>
    </w:p>
    <w:p w14:paraId="06A876F5" w14:textId="77777777" w:rsidR="00830ED3" w:rsidRDefault="00000000">
      <w:pPr>
        <w:spacing w:line="360" w:lineRule="auto"/>
        <w:rPr>
          <w:rFonts w:ascii="FangSong" w:eastAsia="FangSong" w:hAnsi="FangSong" w:cs="FangSong"/>
        </w:rPr>
      </w:pPr>
      <w:r>
        <w:rPr>
          <w:rFonts w:ascii="FangSong" w:eastAsia="FangSong" w:hAnsi="FangSong" w:cs="FangSong" w:hint="eastAsia"/>
        </w:rPr>
        <w:t>浙海关旧址博物馆位于浙江省宁波市江北区中马路542号，成立于1976年，是浙江省省级文物保护单位暨文物系统国有博物馆。该馆前身为清康熙二十四年（1685年）设立的浙海关，系中国早期四大海关之一。建筑原址建于</w:t>
      </w:r>
      <w:r>
        <w:rPr>
          <w:rFonts w:ascii="FangSong" w:eastAsia="FangSong" w:hAnsi="FangSong" w:cs="FangSong"/>
        </w:rPr>
        <w:t>1909</w:t>
      </w:r>
      <w:r>
        <w:rPr>
          <w:rFonts w:ascii="FangSong" w:eastAsia="FangSong" w:hAnsi="FangSong" w:cs="FangSong" w:hint="eastAsia"/>
        </w:rPr>
        <w:t>年，2005年被列为浙江省文物保护单位。</w:t>
      </w:r>
    </w:p>
    <w:p w14:paraId="07E85645"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一、概述</w:t>
      </w:r>
    </w:p>
    <w:p w14:paraId="7742508E" w14:textId="77777777" w:rsidR="00830ED3" w:rsidRDefault="00000000">
      <w:pPr>
        <w:spacing w:line="360" w:lineRule="auto"/>
        <w:rPr>
          <w:rFonts w:ascii="FangSong" w:eastAsia="FangSong" w:hAnsi="FangSong" w:cs="FangSong"/>
        </w:rPr>
      </w:pPr>
      <w:r>
        <w:rPr>
          <w:rFonts w:ascii="FangSong" w:eastAsia="FangSong" w:hAnsi="FangSong" w:cs="FangSong" w:hint="eastAsia"/>
        </w:rPr>
        <w:t>1、示范点基本情况</w:t>
      </w:r>
    </w:p>
    <w:p w14:paraId="46196054" w14:textId="77777777" w:rsidR="00830ED3" w:rsidRDefault="00000000">
      <w:pPr>
        <w:spacing w:line="360" w:lineRule="auto"/>
        <w:rPr>
          <w:rFonts w:ascii="FangSong" w:eastAsia="FangSong" w:hAnsi="FangSong" w:cs="FangSong"/>
        </w:rPr>
      </w:pPr>
      <w:r>
        <w:rPr>
          <w:rFonts w:ascii="FangSong" w:eastAsia="FangSong" w:hAnsi="FangSong" w:cs="FangSong" w:hint="eastAsia"/>
        </w:rPr>
        <w:t>浙海关旧址博物馆是宁波典型的公署建筑，它的独栋设计，打破了当时中国传统连片院落结构，做到了中西合璧：以中国青砖为主要材料，配以西洋式的廊柱、门窗套和百叶窗等作为装饰，是当时最具特色的流行建筑，是中国早期海关的历史见证，具有重要的历史、文化价值。宁波浙海关旧址博物馆的平面布局基本保持了原始的设计，但在长期使用中由于部分结构出现安全隐患，馆方于2019年采取了加固措施，以保证参观者的安全。同时，部分地面砖和地板由于年久磨损出现了不同程度的损坏，目前已进行了局部修复，保持了建筑空间的完整性。</w:t>
      </w:r>
    </w:p>
    <w:p w14:paraId="56916363" w14:textId="77777777" w:rsidR="00830ED3" w:rsidRDefault="00830ED3">
      <w:pPr>
        <w:pStyle w:val="1"/>
      </w:pPr>
    </w:p>
    <w:p w14:paraId="229EA3E2" w14:textId="77777777" w:rsidR="00830ED3" w:rsidRDefault="00000000">
      <w:pPr>
        <w:numPr>
          <w:ilvl w:val="0"/>
          <w:numId w:val="1"/>
        </w:numPr>
        <w:spacing w:line="360" w:lineRule="auto"/>
        <w:rPr>
          <w:rFonts w:ascii="FangSong" w:eastAsia="FangSong" w:hAnsi="FangSong" w:cs="FangSong"/>
        </w:rPr>
      </w:pPr>
      <w:r>
        <w:rPr>
          <w:rFonts w:ascii="FangSong" w:eastAsia="FangSong" w:hAnsi="FangSong" w:cs="FangSong" w:hint="eastAsia"/>
        </w:rPr>
        <w:t>团队所做工作</w:t>
      </w:r>
    </w:p>
    <w:p w14:paraId="3B01E38D"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为实现浙海关文化遗产的精准留存与活化利用，团队核心开展了三维数据扫描相关工作：</w:t>
      </w:r>
    </w:p>
    <w:p w14:paraId="528378E1"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（1）针对海关建筑建筑主体，进行全域高精度三维激光扫描，采集建筑本体的空间结构、尺度数据、装饰细节等信息；</w:t>
      </w:r>
    </w:p>
    <w:p w14:paraId="18C135B8"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（2）结合地面拍照与空中影像采集，补充建筑立面、屋顶及隐蔽部位的数据，构建完整的三维数据模型，为后续数字化应用奠定基础；</w:t>
      </w:r>
    </w:p>
    <w:p w14:paraId="47368F7D" w14:textId="77777777" w:rsidR="00830ED3" w:rsidRDefault="00000000">
      <w:pPr>
        <w:spacing w:line="360" w:lineRule="auto"/>
        <w:rPr>
          <w:rFonts w:ascii="FangSong" w:eastAsia="FangSong" w:hAnsi="FangSong" w:cs="FangSong"/>
        </w:rPr>
      </w:pPr>
      <w:r>
        <w:rPr>
          <w:rFonts w:ascii="FangSong" w:eastAsia="FangSong" w:hAnsi="FangSong" w:cs="FangSong" w:hint="eastAsia"/>
        </w:rPr>
        <w:t>3、相关成果简述</w:t>
      </w:r>
    </w:p>
    <w:p w14:paraId="132B785E"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（1）</w:t>
      </w:r>
      <w:r>
        <w:rPr>
          <w:rFonts w:ascii="FangSong" w:eastAsia="FangSong" w:hAnsi="FangSong" w:cs="FangSong"/>
        </w:rPr>
        <w:t>形成高精度三维数字档案：构建</w:t>
      </w:r>
      <w:r>
        <w:rPr>
          <w:rFonts w:ascii="FangSong" w:eastAsia="FangSong" w:hAnsi="FangSong" w:cs="FangSong" w:hint="eastAsia"/>
        </w:rPr>
        <w:t>浙海关建筑的</w:t>
      </w:r>
      <w:r>
        <w:rPr>
          <w:rFonts w:ascii="FangSong" w:eastAsia="FangSong" w:hAnsi="FangSong" w:cs="FangSong"/>
        </w:rPr>
        <w:t>三维模型，数据精度贴合建筑本体特征，完整留存</w:t>
      </w:r>
      <w:r>
        <w:rPr>
          <w:rFonts w:ascii="FangSong" w:eastAsia="FangSong" w:hAnsi="FangSong" w:cs="FangSong" w:hint="eastAsia"/>
        </w:rPr>
        <w:t>建筑</w:t>
      </w:r>
      <w:r>
        <w:rPr>
          <w:rFonts w:ascii="FangSong" w:eastAsia="FangSong" w:hAnsi="FangSong" w:cs="FangSong"/>
        </w:rPr>
        <w:t>的空间格局、建筑形制及工艺细节，为文物保护、修缮复原提供数字化依据，有效弥补传统档案的局限性；</w:t>
      </w:r>
    </w:p>
    <w:p w14:paraId="05B56C58"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（2）</w:t>
      </w:r>
      <w:r>
        <w:rPr>
          <w:rFonts w:ascii="FangSong" w:eastAsia="FangSong" w:hAnsi="FangSong" w:cs="FangSong"/>
        </w:rPr>
        <w:t>支撑数字化传播与体验：基于三维数据开发数字漫游系统，用户可沉浸式游览</w:t>
      </w:r>
      <w:r>
        <w:rPr>
          <w:rFonts w:ascii="FangSong" w:eastAsia="FangSong" w:hAnsi="FangSong" w:cs="FangSong" w:hint="eastAsia"/>
        </w:rPr>
        <w:t>建筑内部空间，线上浏览博物馆展出内容</w:t>
      </w:r>
      <w:r>
        <w:rPr>
          <w:rFonts w:ascii="FangSong" w:eastAsia="FangSong" w:hAnsi="FangSong" w:cs="FangSong"/>
        </w:rPr>
        <w:t>，查看建筑细节与历史解读，打破时空限制；</w:t>
      </w:r>
    </w:p>
    <w:p w14:paraId="1C0A164E"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（3）</w:t>
      </w:r>
      <w:r>
        <w:rPr>
          <w:rFonts w:ascii="FangSong" w:eastAsia="FangSong" w:hAnsi="FangSong" w:cs="FangSong"/>
        </w:rPr>
        <w:t>助力学术研究与保护实践：三维数据为建筑史研究提供了可视化、可量化的分析载体，同时为日常养护、风险监测提供技术支撑，推动</w:t>
      </w:r>
      <w:r>
        <w:rPr>
          <w:rFonts w:ascii="FangSong" w:eastAsia="FangSong" w:hAnsi="FangSong" w:cs="FangSong" w:hint="eastAsia"/>
        </w:rPr>
        <w:t>浙海关</w:t>
      </w:r>
      <w:r>
        <w:rPr>
          <w:rFonts w:ascii="FangSong" w:eastAsia="FangSong" w:hAnsi="FangSong" w:cs="FangSong"/>
        </w:rPr>
        <w:t>保护工作从传统模式向科技赋能模式转型，实现文化遗产的活态传承。</w:t>
      </w:r>
    </w:p>
    <w:p w14:paraId="4A0679DD" w14:textId="77777777" w:rsidR="00830ED3" w:rsidRDefault="00830ED3">
      <w:pPr>
        <w:spacing w:line="360" w:lineRule="auto"/>
        <w:rPr>
          <w:rFonts w:ascii="FangSong" w:eastAsia="FangSong" w:hAnsi="FangSong" w:cs="FangSong"/>
        </w:rPr>
      </w:pPr>
    </w:p>
    <w:p w14:paraId="757DF0B8"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二、数字漫游（略）</w:t>
      </w:r>
    </w:p>
    <w:p w14:paraId="7B88B016"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三、地理方位</w:t>
      </w:r>
    </w:p>
    <w:p w14:paraId="45D835C0" w14:textId="77777777" w:rsidR="00830ED3" w:rsidRDefault="00000000">
      <w:pPr>
        <w:spacing w:line="360" w:lineRule="auto"/>
        <w:rPr>
          <w:rFonts w:ascii="FangSong" w:eastAsia="FangSong" w:hAnsi="FangSong" w:cs="FangSong"/>
        </w:rPr>
      </w:pPr>
      <w:r>
        <w:rPr>
          <w:noProof/>
        </w:rPr>
        <w:drawing>
          <wp:inline distT="0" distB="0" distL="0" distR="0" wp14:anchorId="6A6BFB65" wp14:editId="4B98539E">
            <wp:extent cx="5274310" cy="3601720"/>
            <wp:effectExtent l="0" t="0" r="2540" b="0"/>
            <wp:docPr id="8793736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73652" name="图片 1"/>
                    <pic:cNvPicPr>
                      <a:picLocks noChangeAspect="1"/>
                    </pic:cNvPicPr>
                  </pic:nvPicPr>
                  <pic:blipFill>
                    <a:blip r:embed="rId5"/>
                    <a:stretch>
                      <a:fillRect/>
                    </a:stretch>
                  </pic:blipFill>
                  <pic:spPr>
                    <a:xfrm>
                      <a:off x="0" y="0"/>
                      <a:ext cx="5274310" cy="3601720"/>
                    </a:xfrm>
                    <a:prstGeom prst="rect">
                      <a:avLst/>
                    </a:prstGeom>
                  </pic:spPr>
                </pic:pic>
              </a:graphicData>
            </a:graphic>
          </wp:inline>
        </w:drawing>
      </w:r>
    </w:p>
    <w:p w14:paraId="1292E709" w14:textId="77777777" w:rsidR="00830ED3" w:rsidRDefault="00000000">
      <w:pPr>
        <w:spacing w:line="360" w:lineRule="auto"/>
        <w:rPr>
          <w:rFonts w:ascii="FangSong" w:eastAsia="FangSong" w:hAnsi="FangSong" w:cs="FangSong"/>
        </w:rPr>
      </w:pPr>
      <w:r>
        <w:rPr>
          <w:rFonts w:ascii="FangSong" w:eastAsia="FangSong" w:hAnsi="FangSong" w:cs="FangSong" w:hint="eastAsia"/>
        </w:rPr>
        <w:t>29°53′07″N 121°33′32″E（采用2000国家大地坐标系；选取历史建筑本体的外轮廓角点作为测点。多个测点坐标以分号分隔，从东北角为起点按顺时针方向罗列）</w:t>
      </w:r>
    </w:p>
    <w:p w14:paraId="28B60768"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四、重读历史</w:t>
      </w:r>
    </w:p>
    <w:p w14:paraId="6A46F107"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rPr>
        <w:t>1、历史沿革</w:t>
      </w:r>
    </w:p>
    <w:p w14:paraId="3E9987FD"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清康熙二十四年（</w:t>
      </w:r>
      <w:r>
        <w:rPr>
          <w:rFonts w:ascii="FangSong" w:eastAsia="FangSong" w:hAnsi="FangSong" w:cs="FangSong"/>
          <w:lang w:val="en-GB"/>
        </w:rPr>
        <w:t>1685</w:t>
      </w:r>
      <w:r>
        <w:rPr>
          <w:rFonts w:ascii="FangSong" w:eastAsia="FangSong" w:hAnsi="FangSong" w:cs="FangSong" w:hint="eastAsia"/>
          <w:lang w:val="en-GB"/>
        </w:rPr>
        <w:t>年），清政府开放“海禁”，允许浙江照福建、广东的例子，在宁波设立浙海关，以加强对海外贸易的控制并增加财政收入。浙海关最初由浙江巡抚管理，委托宁绍台道督理，专门征收海舶货税</w:t>
      </w:r>
      <w:r>
        <w:rPr>
          <w:rFonts w:ascii="MS Gothic" w:eastAsia="MS Gothic" w:hAnsi="MS Gothic" w:cs="MS Gothic" w:hint="eastAsia"/>
          <w:lang w:val="en-GB"/>
        </w:rPr>
        <w:t>‌</w:t>
      </w:r>
      <w:r>
        <w:rPr>
          <w:rFonts w:ascii="FangSong" w:eastAsia="FangSong" w:hAnsi="FangSong" w:cs="FangSong" w:hint="eastAsia"/>
          <w:lang w:val="en-GB"/>
        </w:rPr>
        <w:t>。</w:t>
      </w:r>
    </w:p>
    <w:p w14:paraId="2302C4B6"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乾隆二十二年（1757年），清政府下令关闭漳州、宁波、云台山三关，仅准广州一口通商。</w:t>
      </w:r>
    </w:p>
    <w:p w14:paraId="3C413EC1"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乾隆二十三年（</w:t>
      </w:r>
      <w:r>
        <w:rPr>
          <w:rFonts w:ascii="FangSong" w:eastAsia="FangSong" w:hAnsi="FangSong" w:cs="FangSong"/>
          <w:lang w:val="en-GB"/>
        </w:rPr>
        <w:t>1758</w:t>
      </w:r>
      <w:r>
        <w:rPr>
          <w:rFonts w:ascii="FangSong" w:eastAsia="FangSong" w:hAnsi="FangSong" w:cs="FangSong" w:hint="eastAsia"/>
          <w:lang w:val="en-GB"/>
        </w:rPr>
        <w:t>年），浙海关停止征税</w:t>
      </w:r>
      <w:r>
        <w:rPr>
          <w:rFonts w:ascii="MS Gothic" w:eastAsia="MS Gothic" w:hAnsi="MS Gothic" w:cs="MS Gothic" w:hint="eastAsia"/>
          <w:lang w:val="en-GB"/>
        </w:rPr>
        <w:t>‌</w:t>
      </w:r>
      <w:r>
        <w:rPr>
          <w:rFonts w:ascii="FangSong" w:eastAsia="FangSong" w:hAnsi="FangSong" w:cs="FangSong" w:hint="eastAsia"/>
          <w:lang w:val="en-GB"/>
        </w:rPr>
        <w:t>。</w:t>
      </w:r>
    </w:p>
    <w:p w14:paraId="2E113447"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清道光二十二年（1842年）根据《南京条约》，列为“五口通商”口岸之一的宁波正式对外开埠通商。</w:t>
      </w:r>
    </w:p>
    <w:p w14:paraId="650F4A2D"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清咸丰十一年（1861年）5月，原浙海关所在地改为浙海关监督驻地，俗称里关；又在江北岸外滩设置浙海关税务司，建立浙海新关，专管出入宁波港的涉外关务，民众犹称“洋关”；而浙海大关则改称浙海常关，专征国内贸易税费。税务司是海关实际上的“掌门人”，这个</w:t>
      </w:r>
      <w:r>
        <w:rPr>
          <w:rFonts w:ascii="FangSong" w:eastAsia="FangSong" w:hAnsi="FangSong" w:cs="FangSong" w:hint="eastAsia"/>
          <w:lang w:val="en-GB"/>
        </w:rPr>
        <w:lastRenderedPageBreak/>
        <w:t>职位在1932年前一直由外国人担任，这也是“洋关”称谓的由来之一。</w:t>
      </w:r>
    </w:p>
    <w:p w14:paraId="169D9E01"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1941年4月日军侵占宁波并“接收”浙海关。</w:t>
      </w:r>
    </w:p>
    <w:p w14:paraId="37C3574B"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1948年9月，民国财政部关务署行文，浙海关划归江海关管辖，更名为江海关宁波分关，浙海关的历史至此结束。</w:t>
      </w:r>
    </w:p>
    <w:p w14:paraId="5BF8A44C"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2005年浙海关旧址成为浙江省省级文物保护单位。</w:t>
      </w:r>
    </w:p>
    <w:p w14:paraId="6CC3DF75"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2008年成立浙海关旧址博物馆。</w:t>
      </w:r>
    </w:p>
    <w:p w14:paraId="31608244" w14:textId="77777777" w:rsidR="00830ED3" w:rsidRDefault="00830ED3">
      <w:pPr>
        <w:spacing w:line="360" w:lineRule="auto"/>
        <w:rPr>
          <w:rFonts w:ascii="FangSong" w:eastAsia="FangSong" w:hAnsi="FangSong" w:cs="FangSong"/>
          <w:lang w:val="en-GB"/>
        </w:rPr>
      </w:pPr>
    </w:p>
    <w:p w14:paraId="5E7240CB" w14:textId="77777777" w:rsidR="00830ED3" w:rsidRDefault="00000000">
      <w:pPr>
        <w:spacing w:line="360" w:lineRule="auto"/>
        <w:rPr>
          <w:rFonts w:ascii="FangSong" w:eastAsia="FangSong" w:hAnsi="FangSong" w:cs="FangSong"/>
          <w:lang w:val="en-GB"/>
        </w:rPr>
      </w:pPr>
      <w:r>
        <w:rPr>
          <w:rFonts w:ascii="FangSong" w:eastAsia="FangSong" w:hAnsi="FangSong" w:cs="FangSong" w:hint="eastAsia"/>
          <w:lang w:val="en-GB"/>
        </w:rPr>
        <w:t>管理机构</w:t>
      </w:r>
      <w:r>
        <w:rPr>
          <w:rFonts w:ascii="MS Gothic" w:eastAsia="MS Gothic" w:hAnsi="MS Gothic" w:cs="MS Gothic" w:hint="eastAsia"/>
          <w:lang w:val="en-GB"/>
        </w:rPr>
        <w:t>‌</w:t>
      </w:r>
      <w:r>
        <w:rPr>
          <w:rFonts w:ascii="FangSong" w:eastAsia="FangSong" w:hAnsi="FangSong" w:cs="FangSong" w:hint="eastAsia"/>
          <w:lang w:val="en-GB"/>
        </w:rPr>
        <w:t>：浙海关初设时，由满汉海税监督各</w:t>
      </w:r>
      <w:r>
        <w:rPr>
          <w:rFonts w:ascii="FangSong" w:eastAsia="FangSong" w:hAnsi="FangSong" w:cs="FangSong"/>
          <w:lang w:val="en-GB"/>
        </w:rPr>
        <w:t>1</w:t>
      </w:r>
      <w:r>
        <w:rPr>
          <w:rFonts w:ascii="FangSong" w:eastAsia="FangSong" w:hAnsi="FangSong" w:cs="FangSong" w:hint="eastAsia"/>
          <w:lang w:val="en-GB"/>
        </w:rPr>
        <w:t>人、笔帖式各</w:t>
      </w:r>
      <w:r>
        <w:rPr>
          <w:rFonts w:ascii="FangSong" w:eastAsia="FangSong" w:hAnsi="FangSong" w:cs="FangSong"/>
          <w:lang w:val="en-GB"/>
        </w:rPr>
        <w:t>1</w:t>
      </w:r>
      <w:r>
        <w:rPr>
          <w:rFonts w:ascii="FangSong" w:eastAsia="FangSong" w:hAnsi="FangSong" w:cs="FangSong" w:hint="eastAsia"/>
          <w:lang w:val="en-GB"/>
        </w:rPr>
        <w:t>人，下设稿房、洋房、闽房、梁头房等</w:t>
      </w:r>
      <w:r>
        <w:rPr>
          <w:rFonts w:ascii="FangSong" w:eastAsia="FangSong" w:hAnsi="FangSong" w:cs="FangSong"/>
          <w:lang w:val="en-GB"/>
        </w:rPr>
        <w:t>4</w:t>
      </w:r>
      <w:r>
        <w:rPr>
          <w:rFonts w:ascii="FangSong" w:eastAsia="FangSong" w:hAnsi="FangSong" w:cs="FangSong" w:hint="eastAsia"/>
          <w:lang w:val="en-GB"/>
        </w:rPr>
        <w:t>房办事机构，实行“监督”制管理。康熙六十年后，由浙江巡抚兼巡监督；乾隆元年后，由宁波知府或宁绍台道兼任海关监督</w:t>
      </w:r>
      <w:r>
        <w:rPr>
          <w:rFonts w:ascii="MS Gothic" w:eastAsia="MS Gothic" w:hAnsi="MS Gothic" w:cs="MS Gothic" w:hint="eastAsia"/>
          <w:lang w:val="en-GB"/>
        </w:rPr>
        <w:t>‌</w:t>
      </w:r>
      <w:r>
        <w:rPr>
          <w:rFonts w:ascii="FangSong" w:eastAsia="FangSong" w:hAnsi="FangSong" w:cs="FangSong" w:hint="eastAsia"/>
          <w:lang w:val="en-GB"/>
        </w:rPr>
        <w:t>。</w:t>
      </w:r>
    </w:p>
    <w:p w14:paraId="602CA0A2"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2、历史人物</w:t>
      </w:r>
    </w:p>
    <w:p w14:paraId="2B1B4E7B" w14:textId="77777777" w:rsidR="00830ED3" w:rsidRDefault="00000000">
      <w:pPr>
        <w:spacing w:line="360" w:lineRule="auto"/>
        <w:rPr>
          <w:rFonts w:ascii="FangSong" w:eastAsia="FangSong" w:hAnsi="FangSong" w:cs="FangSong"/>
        </w:rPr>
      </w:pPr>
      <w:r>
        <w:rPr>
          <w:rFonts w:ascii="FangSong" w:eastAsia="FangSong" w:hAnsi="FangSong" w:cs="FangSong" w:hint="eastAsia"/>
        </w:rPr>
        <w:t>浙海关旧址博物馆的历史脉络，主要围绕赫德及外籍税务司制度的推行而展开。罗伯特·赫德（Robert Hart），1835年生于英国北爱尔兰，1854年受英国外交部派遣来华，初任驻宁波领事馆见习翻译。在甬期间，赫德系统学习了汉语及官话，并通过对地方行政与贸易实务的观察，积累了关于中国海关运作的最初认知。1858年迁任广州领事馆翻译后，赫德开始直接参与海关事务。1861年，经时任海关总税务司李泰国推荐，赫德以代理税务司身份赴宁波筹设浙海关，同年正式出任首任税务司。到任后，他即着手建立统一的验货、估价与统计规程，引入考绩制、财务审计与档案保存等西方文官制度要素，在较短时间内扭转了原有常关体制下管理失序与税收流失的局面。赫德在宁波期间还亲自参与进出口船舶查验、税则执行及贸易数据汇编，逐步形成了一套可复制的操作框架。这一由外籍税务司管理、以中国政府名义征收关税的浙海关模式，不久后经由赫德系统化并推广至全国各口。1863年赫德调任上海，旋又北上出任海关总税务司，在其后长达四十五年的任期内持续掌控中国海关系统，浙海关的实践经验由此成为这一庞大制度的起点。</w:t>
      </w:r>
    </w:p>
    <w:p w14:paraId="519E802D" w14:textId="77777777" w:rsidR="00830ED3" w:rsidRDefault="00000000">
      <w:pPr>
        <w:spacing w:line="360" w:lineRule="auto"/>
        <w:rPr>
          <w:rFonts w:ascii="SimSun" w:eastAsia="SimSun" w:hAnsi="SimSun" w:cs="SimSun"/>
          <w:sz w:val="24"/>
        </w:rPr>
      </w:pPr>
      <w:r>
        <w:rPr>
          <w:rFonts w:ascii="SimSun" w:eastAsia="SimSun" w:hAnsi="SimSun" w:cs="SimSun"/>
          <w:noProof/>
          <w:sz w:val="24"/>
        </w:rPr>
        <w:lastRenderedPageBreak/>
        <w:drawing>
          <wp:inline distT="0" distB="0" distL="114300" distR="114300" wp14:anchorId="2DCCACE4" wp14:editId="20116E2A">
            <wp:extent cx="3648075" cy="4291965"/>
            <wp:effectExtent l="0" t="0" r="9525" b="133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3648075" cy="4291965"/>
                    </a:xfrm>
                    <a:prstGeom prst="rect">
                      <a:avLst/>
                    </a:prstGeom>
                    <a:noFill/>
                    <a:ln w="9525">
                      <a:noFill/>
                    </a:ln>
                  </pic:spPr>
                </pic:pic>
              </a:graphicData>
            </a:graphic>
          </wp:inline>
        </w:drawing>
      </w:r>
    </w:p>
    <w:p w14:paraId="48A820BA" w14:textId="77777777" w:rsidR="00830ED3" w:rsidRDefault="00000000">
      <w:r>
        <w:rPr>
          <w:rFonts w:hint="eastAsia"/>
        </w:rPr>
        <w:t>罗伯特赫德肖像画</w:t>
      </w:r>
    </w:p>
    <w:p w14:paraId="74FC6C5D"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3、历史活动</w:t>
      </w:r>
    </w:p>
    <w:p w14:paraId="12D6221A" w14:textId="77777777" w:rsidR="00830ED3" w:rsidRDefault="00000000">
      <w:pPr>
        <w:spacing w:line="360" w:lineRule="auto"/>
        <w:rPr>
          <w:rFonts w:ascii="FangSong" w:eastAsia="FangSong" w:hAnsi="FangSong" w:cs="FangSong"/>
        </w:rPr>
      </w:pPr>
      <w:r>
        <w:rPr>
          <w:rFonts w:ascii="FangSong" w:eastAsia="FangSong" w:hAnsi="FangSong" w:cs="FangSong" w:hint="eastAsia"/>
        </w:rPr>
        <w:t>道光二十三年（1843），清政府被迫签订了《海关税则》，丧失了我国的关税自主权。咸丰四年（1854）签订《江海关组织协定》，洋关制度开始建立。洋关设立后，整个机构也是为外人所把持，使代表国家征收进出口税的机关长期为列强控制，也使国家的税收一直处于他人掌控中。1901年《辛丑条约》签订后，为支付庚子赔款，关税余额不敷担保，又将位于通商口岸50里内的常关也划归税务司管理。关税主权进一步丧失，这也是中国沦为半殖民地国家的一个重要表现，自此以后的几十年间，中国海关管理权一直为外人所操纵。此外洋关还兼办海务、港务、邮政、检疫、引水、气象等事务，海关管理的事务远远超过了其自身的职责范围，已经将手伸到许多中国内政事务中。所以赫德曾说：“我所管理的机构虽然叫作海关，但是它的范围是广泛的。在职能范围上，浙海关表现出明显的制度输出与技术移植效应，使宁波港的港务管理较早呈现近代化特征。与此同时，洋货的大量流入对宁波本地的棉纺织业、染料业等传统手工业构成持续性冲击，导致部分行业萎缩与手工业者失业。它引进了近代海关的行政规范、统计制度与港口管理体系，为宁波口岸的运作提供了技术层面的现代条件；另一方面，这一制度始终嵌在不平等的条约框架之内，构成列强主导下的经济秩序</w:t>
      </w:r>
      <w:r>
        <w:rPr>
          <w:rFonts w:ascii="FangSong" w:eastAsia="FangSong" w:hAnsi="FangSong" w:cs="FangSong" w:hint="eastAsia"/>
        </w:rPr>
        <w:lastRenderedPageBreak/>
        <w:t>的关键一环，强化了中国在通商领域的从属地位。</w:t>
      </w:r>
    </w:p>
    <w:p w14:paraId="3BE6EBBA" w14:textId="77777777" w:rsidR="00830ED3" w:rsidRDefault="00000000">
      <w:pPr>
        <w:spacing w:line="360" w:lineRule="auto"/>
        <w:rPr>
          <w:rFonts w:ascii="FangSong" w:eastAsia="FangSong" w:hAnsi="FangSong" w:cs="FangSong"/>
        </w:rPr>
      </w:pPr>
      <w:r>
        <w:rPr>
          <w:rFonts w:ascii="FangSong" w:eastAsia="FangSong" w:hAnsi="FangSong" w:cs="FangSong" w:hint="eastAsia"/>
        </w:rPr>
        <w:t>作为对外贸易的窗口，浙海关旧址也是中西方文化交融的场所。自开埠以来，大量外国商人、传教士和外交官在宁波汇聚，使得宁波的社会文化和城市风貌逐渐受到西方影响。浙海关旧址正是在这一过程中见证了西方贸易理念、宗教文化、法律制度等在中国的传播。</w:t>
      </w:r>
    </w:p>
    <w:p w14:paraId="24EE25D3" w14:textId="77777777" w:rsidR="00830ED3" w:rsidRDefault="00000000">
      <w:pPr>
        <w:spacing w:line="360" w:lineRule="auto"/>
        <w:rPr>
          <w:rFonts w:ascii="FangSong" w:eastAsia="FangSong" w:hAnsi="FangSong" w:cs="FangSong"/>
        </w:rPr>
      </w:pPr>
      <w:r>
        <w:rPr>
          <w:rFonts w:ascii="FangSong" w:eastAsia="FangSong" w:hAnsi="FangSong" w:cs="FangSong" w:hint="eastAsia"/>
        </w:rPr>
        <w:t>在抗日战争时期，浙海关曾被日军占领。抗战胜利后，民国34年（1945）9月，国民政府派员接收伪‘海关转口税宁波征收所’，恢复浙海关。”当时江北岸原浙海关署遭到日军严重破坏</w:t>
      </w:r>
    </w:p>
    <w:p w14:paraId="5F2DCEAA" w14:textId="77777777" w:rsidR="00830ED3" w:rsidRDefault="00000000">
      <w:pPr>
        <w:spacing w:line="360" w:lineRule="auto"/>
        <w:rPr>
          <w:rFonts w:ascii="DengXian" w:eastAsia="DengXian" w:hAnsi="DengXian" w:cs="Times New Roman"/>
          <w:color w:val="4874CB" w:themeColor="accent1"/>
        </w:rPr>
      </w:pPr>
      <w:r>
        <w:rPr>
          <w:rFonts w:ascii="FangSong" w:eastAsia="FangSong" w:hAnsi="FangSong" w:cs="FangSong" w:hint="eastAsia"/>
        </w:rPr>
        <w:t>。</w:t>
      </w:r>
      <w:r>
        <w:rPr>
          <w:rFonts w:ascii="DengXian" w:eastAsia="DengXian" w:hAnsi="DengXian" w:cs="Times New Roman"/>
          <w:noProof/>
          <w:color w:val="4874CB" w:themeColor="accent1"/>
        </w:rPr>
        <w:drawing>
          <wp:inline distT="0" distB="0" distL="0" distR="0" wp14:anchorId="57BBF1BC" wp14:editId="6035A724">
            <wp:extent cx="5022215" cy="3000375"/>
            <wp:effectExtent l="0" t="0" r="6985" b="9525"/>
            <wp:docPr id="1974080633" name="图片 65227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80633" name="图片 6522747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022215" cy="3000375"/>
                    </a:xfrm>
                    <a:prstGeom prst="rect">
                      <a:avLst/>
                    </a:prstGeom>
                    <a:noFill/>
                    <a:ln>
                      <a:noFill/>
                    </a:ln>
                  </pic:spPr>
                </pic:pic>
              </a:graphicData>
            </a:graphic>
          </wp:inline>
        </w:drawing>
      </w:r>
    </w:p>
    <w:p w14:paraId="7B5E46BE" w14:textId="77777777" w:rsidR="00830ED3" w:rsidRDefault="00000000">
      <w:r>
        <w:rPr>
          <w:rFonts w:hint="eastAsia"/>
        </w:rPr>
        <w:t>浙海关办公楼</w:t>
      </w:r>
    </w:p>
    <w:p w14:paraId="6ACCD1F2" w14:textId="77777777" w:rsidR="00830ED3" w:rsidRDefault="00000000">
      <w:pPr>
        <w:numPr>
          <w:ilvl w:val="0"/>
          <w:numId w:val="2"/>
        </w:numPr>
        <w:spacing w:line="360" w:lineRule="auto"/>
        <w:rPr>
          <w:rFonts w:ascii="FangSong" w:eastAsia="FangSong" w:hAnsi="FangSong" w:cs="FangSong"/>
          <w:b/>
          <w:bCs/>
        </w:rPr>
      </w:pPr>
      <w:r>
        <w:rPr>
          <w:rFonts w:ascii="FangSong" w:eastAsia="FangSong" w:hAnsi="FangSong" w:cs="FangSong" w:hint="eastAsia"/>
          <w:b/>
          <w:bCs/>
        </w:rPr>
        <w:t>图纸档案</w:t>
      </w:r>
    </w:p>
    <w:p w14:paraId="4E9F128C"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建筑形制解读：</w:t>
      </w:r>
    </w:p>
    <w:p w14:paraId="47975269"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1）平面布局：</w:t>
      </w:r>
    </w:p>
    <w:p w14:paraId="13415FE9"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浙海关旧址现存建筑为三层砖木结构，坐西朝东，面朝甬江，平面呈长方形，建筑通面宽15.2米，通进深21.8米，北侧另设天井，建筑面积1068平方米。东西两侧设围墙， 东侧和南侧设外廊。一层可以分为东中西三个部分，东侧是外廊加东侧两个房间。中间部分为两个不规则的房间。在东南角的位置即南侧外廊的西尽头设楼梯间，内设木质楼梯一部。西侧为西围墙的院落天井加两个一层管理用房。二层则设有起居室，厨房，书房等房间，这些房间围绕中心的大厅排布，三楼的平面与二楼基本一致，但是所有房间均为卧室。</w:t>
      </w:r>
    </w:p>
    <w:p w14:paraId="4E093859" w14:textId="77777777" w:rsidR="00830ED3" w:rsidRDefault="00000000">
      <w:r>
        <w:rPr>
          <w:noProof/>
        </w:rPr>
        <w:lastRenderedPageBreak/>
        <w:drawing>
          <wp:inline distT="0" distB="0" distL="0" distR="0" wp14:anchorId="0559F4DC" wp14:editId="67135B29">
            <wp:extent cx="5274310" cy="7252970"/>
            <wp:effectExtent l="0" t="0" r="2540" b="5080"/>
            <wp:docPr id="652274688" name="图片 65227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74688" name="图片 652274688"/>
                    <pic:cNvPicPr>
                      <a:picLocks noChangeAspect="1"/>
                    </pic:cNvPicPr>
                  </pic:nvPicPr>
                  <pic:blipFill>
                    <a:blip r:embed="rId8"/>
                    <a:stretch>
                      <a:fillRect/>
                    </a:stretch>
                  </pic:blipFill>
                  <pic:spPr>
                    <a:xfrm>
                      <a:off x="0" y="0"/>
                      <a:ext cx="5274310" cy="7252970"/>
                    </a:xfrm>
                    <a:prstGeom prst="rect">
                      <a:avLst/>
                    </a:prstGeom>
                  </pic:spPr>
                </pic:pic>
              </a:graphicData>
            </a:graphic>
          </wp:inline>
        </w:drawing>
      </w:r>
    </w:p>
    <w:p w14:paraId="52C38BD7" w14:textId="77777777" w:rsidR="00830ED3" w:rsidRDefault="00000000">
      <w:r>
        <w:rPr>
          <w:rFonts w:hint="eastAsia"/>
        </w:rPr>
        <w:t>浙海关博物馆旧址图纸</w:t>
      </w:r>
    </w:p>
    <w:p w14:paraId="32D8AB52"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2）外墙</w:t>
      </w:r>
    </w:p>
    <w:p w14:paraId="3D313810"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建筑主体采用了青砖，丁砌筑法（英式砌法），与少量装饰的红砖进行了对比。红砖主要应用在装饰，外墙四周各楼层建腰线砌红砖2层作装饰;门榴、窗楣均用红砖拱券点缀。立面</w:t>
      </w:r>
      <w:r>
        <w:rPr>
          <w:rFonts w:ascii="FangSong" w:eastAsia="FangSong" w:hAnsi="FangSong" w:cs="FangSong" w:hint="eastAsia"/>
          <w:b w:val="0"/>
          <w:sz w:val="21"/>
          <w:szCs w:val="24"/>
        </w:rPr>
        <w:lastRenderedPageBreak/>
        <w:t>一半为外廊与东立面角拄相接，一半为墙面设窗东立面每层设列柱六根，南立面三根，为砖砌方形抹角柱子。一层的柱子在从下到上的三分之二处砌加入使用红砖进行装饰，廊柱具有简单的柱头与底座，呈现出三段式的设计。二层及三层的廊柱在接头也用红砖装饰，即红色的柱头，青色的柱身以及红色的底座，从而使柱子呈现三段式的效果。外廊上的栏杆采用了木制的宝瓶状栏杆。</w:t>
      </w:r>
    </w:p>
    <w:p w14:paraId="24409E66" w14:textId="77777777" w:rsidR="00830ED3" w:rsidRDefault="00830ED3"/>
    <w:p w14:paraId="5E0967B3" w14:textId="77777777" w:rsidR="00830ED3" w:rsidRDefault="00000000">
      <w:pPr>
        <w:rPr>
          <w:rFonts w:ascii="DengXian" w:eastAsia="DengXian" w:hAnsi="DengXian" w:cs="Times New Roman"/>
          <w:color w:val="4874CB" w:themeColor="accent1"/>
        </w:rPr>
      </w:pPr>
      <w:r>
        <w:rPr>
          <w:rFonts w:ascii="DengXian" w:eastAsia="DengXian" w:hAnsi="DengXian" w:cs="Times New Roman" w:hint="eastAsia"/>
          <w:noProof/>
          <w:color w:val="4874CB" w:themeColor="accent1"/>
        </w:rPr>
        <w:drawing>
          <wp:inline distT="0" distB="0" distL="0" distR="0" wp14:anchorId="6C9D196C" wp14:editId="61E522CB">
            <wp:extent cx="5225415" cy="4048125"/>
            <wp:effectExtent l="0" t="0" r="13335" b="9525"/>
            <wp:docPr id="68" name="图片 65227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522747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25415" cy="4048125"/>
                    </a:xfrm>
                    <a:prstGeom prst="rect">
                      <a:avLst/>
                    </a:prstGeom>
                    <a:noFill/>
                    <a:ln>
                      <a:noFill/>
                    </a:ln>
                  </pic:spPr>
                </pic:pic>
              </a:graphicData>
            </a:graphic>
          </wp:inline>
        </w:drawing>
      </w:r>
    </w:p>
    <w:p w14:paraId="29DC2428" w14:textId="77777777" w:rsidR="00830ED3" w:rsidRDefault="00000000">
      <w:r>
        <w:rPr>
          <w:rFonts w:hint="eastAsia"/>
        </w:rPr>
        <w:t>浙海关博物馆旧址轴测测绘图片</w:t>
      </w:r>
    </w:p>
    <w:p w14:paraId="7D63DC1B" w14:textId="77777777" w:rsidR="00830ED3" w:rsidRDefault="00830ED3">
      <w:pPr>
        <w:pStyle w:val="1"/>
        <w:jc w:val="both"/>
        <w:rPr>
          <w:rFonts w:ascii="FangSong" w:eastAsia="FangSong" w:hAnsi="FangSong" w:cs="FangSong"/>
          <w:b w:val="0"/>
          <w:sz w:val="21"/>
          <w:szCs w:val="24"/>
        </w:rPr>
      </w:pPr>
    </w:p>
    <w:p w14:paraId="7B00063E" w14:textId="77777777" w:rsidR="00830ED3" w:rsidRDefault="00000000">
      <w:pPr>
        <w:rPr>
          <w:rFonts w:ascii="DengXian" w:eastAsia="DengXian" w:hAnsi="DengXian" w:cs="Times New Roman"/>
          <w:color w:val="4874CB" w:themeColor="accent1"/>
        </w:rPr>
      </w:pPr>
      <w:r>
        <w:rPr>
          <w:rFonts w:ascii="DengXian" w:eastAsia="DengXian" w:hAnsi="DengXian" w:cs="Times New Roman" w:hint="eastAsia"/>
          <w:noProof/>
          <w:color w:val="4874CB" w:themeColor="accent1"/>
        </w:rPr>
        <w:lastRenderedPageBreak/>
        <w:drawing>
          <wp:inline distT="0" distB="0" distL="0" distR="0" wp14:anchorId="2E74A86E" wp14:editId="4C6E3FE7">
            <wp:extent cx="4457700" cy="2971800"/>
            <wp:effectExtent l="0" t="0" r="0" b="0"/>
            <wp:docPr id="69" name="图片 65227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522747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457700" cy="2971800"/>
                    </a:xfrm>
                    <a:prstGeom prst="rect">
                      <a:avLst/>
                    </a:prstGeom>
                    <a:noFill/>
                    <a:ln>
                      <a:noFill/>
                    </a:ln>
                  </pic:spPr>
                </pic:pic>
              </a:graphicData>
            </a:graphic>
          </wp:inline>
        </w:drawing>
      </w:r>
    </w:p>
    <w:p w14:paraId="4AFC8444" w14:textId="77777777" w:rsidR="00830ED3" w:rsidRDefault="00000000">
      <w:r>
        <w:rPr>
          <w:rFonts w:hint="eastAsia"/>
        </w:rPr>
        <w:t>浙海关旧址博物馆外廊</w:t>
      </w:r>
    </w:p>
    <w:p w14:paraId="546AF566"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b w:val="0"/>
          <w:sz w:val="21"/>
          <w:szCs w:val="24"/>
        </w:rPr>
        <w:t>3</w:t>
      </w:r>
      <w:r>
        <w:rPr>
          <w:rFonts w:ascii="FangSong" w:eastAsia="FangSong" w:hAnsi="FangSong" w:cs="FangSong" w:hint="eastAsia"/>
          <w:b w:val="0"/>
          <w:sz w:val="21"/>
          <w:szCs w:val="24"/>
        </w:rPr>
        <w:t>）吊顶：</w:t>
      </w:r>
    </w:p>
    <w:p w14:paraId="26553BF3"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吊顶的保存情况较好，大部分吊顶设计保留了当时的装饰风格。吊顶上常见的装饰线条和浮雕细节展现出西方古典建筑的艺术特征，一些区域甚至保留了复杂的花纹和图案，彰显了建筑的精致工艺。</w:t>
      </w:r>
    </w:p>
    <w:p w14:paraId="2EE9905A"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5）屋顶：</w:t>
      </w:r>
    </w:p>
    <w:p w14:paraId="51539394"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与之前采用四面坡屋顶的浙海关建筑不同，该建筑采用坡屋顶硬山式方瓦的设计，前坡长后坡短。前坡屋面设有两扇天窗，前后里面各有两只的西式壁炉烟囱南。</w:t>
      </w:r>
    </w:p>
    <w:p w14:paraId="0E51682A"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6）门窗：</w:t>
      </w:r>
    </w:p>
    <w:p w14:paraId="6415CD1A" w14:textId="77777777" w:rsidR="00830ED3" w:rsidRDefault="00000000">
      <w:pPr>
        <w:pStyle w:val="1"/>
        <w:jc w:val="both"/>
        <w:rPr>
          <w:rFonts w:ascii="FangSong" w:eastAsia="FangSong" w:hAnsi="FangSong" w:cs="FangSong"/>
          <w:b w:val="0"/>
          <w:sz w:val="21"/>
          <w:szCs w:val="24"/>
        </w:rPr>
      </w:pPr>
      <w:r>
        <w:rPr>
          <w:rFonts w:ascii="FangSong" w:eastAsia="FangSong" w:hAnsi="FangSong" w:cs="FangSong" w:hint="eastAsia"/>
          <w:b w:val="0"/>
          <w:sz w:val="21"/>
          <w:szCs w:val="24"/>
        </w:rPr>
        <w:t>门、窗有立体门套、窗套，外廊内设通排四扇五抹头上下对分十格玻璃门，外设可活动木装修百叶门。这种门窗类型来自于其印度的殖民建筑原型，通过两层的门窗在达到遮阳目的的情况下保证室内空气的流通，从而进一步降低室内的气温。</w:t>
      </w:r>
    </w:p>
    <w:p w14:paraId="336A40FA" w14:textId="77777777" w:rsidR="00830ED3" w:rsidRDefault="00000000">
      <w:pPr>
        <w:widowControl/>
        <w:autoSpaceDE w:val="0"/>
        <w:autoSpaceDN w:val="0"/>
        <w:jc w:val="left"/>
        <w:rPr>
          <w:rFonts w:ascii="SimSun" w:eastAsia="SimSun" w:hAnsi="Times New Roman" w:cs="Times New Roman"/>
          <w:kern w:val="0"/>
          <w:sz w:val="22"/>
          <w:szCs w:val="22"/>
        </w:rPr>
      </w:pPr>
      <w:r>
        <w:rPr>
          <w:rFonts w:ascii="SimSun" w:eastAsia="SimSun" w:hAnsi="Times New Roman" w:cs="Times New Roman"/>
          <w:noProof/>
          <w:kern w:val="0"/>
          <w:sz w:val="22"/>
          <w:szCs w:val="22"/>
        </w:rPr>
        <w:lastRenderedPageBreak/>
        <w:drawing>
          <wp:inline distT="0" distB="0" distL="0" distR="0" wp14:anchorId="3C9666BF" wp14:editId="70F08174">
            <wp:extent cx="5486400" cy="3441700"/>
            <wp:effectExtent l="0" t="0" r="0" b="6350"/>
            <wp:docPr id="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86400" cy="3441700"/>
                    </a:xfrm>
                    <a:prstGeom prst="rect">
                      <a:avLst/>
                    </a:prstGeom>
                    <a:noFill/>
                    <a:ln>
                      <a:noFill/>
                    </a:ln>
                  </pic:spPr>
                </pic:pic>
              </a:graphicData>
            </a:graphic>
          </wp:inline>
        </w:drawing>
      </w:r>
    </w:p>
    <w:tbl>
      <w:tblPr>
        <w:tblStyle w:val="22"/>
        <w:tblW w:w="0" w:type="auto"/>
        <w:tblLook w:val="04A0" w:firstRow="1" w:lastRow="0" w:firstColumn="1" w:lastColumn="0" w:noHBand="0" w:noVBand="1"/>
      </w:tblPr>
      <w:tblGrid>
        <w:gridCol w:w="8306"/>
      </w:tblGrid>
      <w:tr w:rsidR="00830ED3" w14:paraId="03279E83"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0E4B8B31"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宁波浙海关旧址博物馆俯视图</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5D33381A"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21F8B48D"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10FC14BD" w14:textId="77777777" w:rsidR="00830ED3" w:rsidRDefault="00000000">
      <w:pPr>
        <w:widowControl/>
        <w:autoSpaceDE w:val="0"/>
        <w:autoSpaceDN w:val="0"/>
        <w:jc w:val="left"/>
        <w:rPr>
          <w:rFonts w:ascii="SimSun" w:eastAsia="SimSun" w:hAnsi="Times New Roman" w:cs="Times New Roman"/>
          <w:b/>
          <w:bCs/>
          <w:kern w:val="0"/>
          <w:sz w:val="22"/>
          <w:szCs w:val="22"/>
        </w:rPr>
      </w:pPr>
      <w:r>
        <w:rPr>
          <w:rFonts w:ascii="SimSun" w:eastAsia="SimSun" w:hAnsi="SimSun" w:cs="Times New Roman"/>
          <w:noProof/>
          <w:color w:val="000000"/>
          <w:kern w:val="0"/>
          <w:sz w:val="22"/>
          <w:szCs w:val="21"/>
        </w:rPr>
        <w:drawing>
          <wp:inline distT="0" distB="0" distL="0" distR="0" wp14:anchorId="55A337B3" wp14:editId="719CB1E7">
            <wp:extent cx="5467350" cy="3435350"/>
            <wp:effectExtent l="0" t="0" r="0" b="0"/>
            <wp:docPr id="1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467350" cy="3435350"/>
                    </a:xfrm>
                    <a:prstGeom prst="rect">
                      <a:avLst/>
                    </a:prstGeom>
                    <a:noFill/>
                    <a:ln>
                      <a:noFill/>
                    </a:ln>
                  </pic:spPr>
                </pic:pic>
              </a:graphicData>
            </a:graphic>
          </wp:inline>
        </w:drawing>
      </w:r>
    </w:p>
    <w:p w14:paraId="31B46197" w14:textId="77777777" w:rsidR="00830ED3" w:rsidRDefault="00830ED3">
      <w:pPr>
        <w:widowControl/>
        <w:autoSpaceDE w:val="0"/>
        <w:autoSpaceDN w:val="0"/>
        <w:jc w:val="left"/>
        <w:rPr>
          <w:rFonts w:ascii="SimSun" w:eastAsia="SimSun" w:hAnsi="Times New Roman" w:cs="Times New Roman"/>
          <w:kern w:val="0"/>
          <w:sz w:val="22"/>
          <w:szCs w:val="22"/>
        </w:rPr>
      </w:pPr>
    </w:p>
    <w:tbl>
      <w:tblPr>
        <w:tblStyle w:val="22"/>
        <w:tblW w:w="0" w:type="auto"/>
        <w:tblLook w:val="04A0" w:firstRow="1" w:lastRow="0" w:firstColumn="1" w:lastColumn="0" w:noHBand="0" w:noVBand="1"/>
      </w:tblPr>
      <w:tblGrid>
        <w:gridCol w:w="8306"/>
      </w:tblGrid>
      <w:tr w:rsidR="00830ED3" w14:paraId="4A531122"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7010A9E8"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宁波浙海关旧址博物馆东立面图</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76E03CC4"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6FC515BF"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13881920" w14:textId="77777777" w:rsidR="00830ED3" w:rsidRDefault="00000000">
      <w:pPr>
        <w:widowControl/>
        <w:autoSpaceDE w:val="0"/>
        <w:autoSpaceDN w:val="0"/>
        <w:jc w:val="left"/>
        <w:rPr>
          <w:rFonts w:ascii="SimSun" w:eastAsia="SimSun" w:hAnsi="SimSun" w:cs="Times New Roman"/>
          <w:color w:val="000000"/>
          <w:kern w:val="0"/>
          <w:sz w:val="22"/>
          <w:szCs w:val="21"/>
        </w:rPr>
      </w:pPr>
      <w:r>
        <w:rPr>
          <w:rFonts w:ascii="SimSun" w:eastAsia="SimSun" w:hAnsi="Times New Roman" w:cs="Times New Roman"/>
          <w:noProof/>
          <w:kern w:val="0"/>
          <w:sz w:val="22"/>
          <w:szCs w:val="22"/>
        </w:rPr>
        <w:lastRenderedPageBreak/>
        <w:drawing>
          <wp:inline distT="0" distB="0" distL="0" distR="0" wp14:anchorId="2361EFFE" wp14:editId="7F40AD86">
            <wp:extent cx="5219700" cy="3276600"/>
            <wp:effectExtent l="0" t="0" r="0" b="0"/>
            <wp:docPr id="1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19700" cy="3276600"/>
                    </a:xfrm>
                    <a:prstGeom prst="rect">
                      <a:avLst/>
                    </a:prstGeom>
                    <a:noFill/>
                    <a:ln>
                      <a:noFill/>
                    </a:ln>
                  </pic:spPr>
                </pic:pic>
              </a:graphicData>
            </a:graphic>
          </wp:inline>
        </w:drawing>
      </w:r>
    </w:p>
    <w:p w14:paraId="6738A615" w14:textId="77777777" w:rsidR="00830ED3" w:rsidRDefault="00830ED3">
      <w:pPr>
        <w:widowControl/>
        <w:autoSpaceDE w:val="0"/>
        <w:autoSpaceDN w:val="0"/>
        <w:jc w:val="left"/>
        <w:rPr>
          <w:rFonts w:ascii="SimSun" w:eastAsia="SimSun" w:hAnsi="Times New Roman" w:cs="Times New Roman"/>
          <w:kern w:val="0"/>
          <w:sz w:val="22"/>
          <w:szCs w:val="22"/>
        </w:rPr>
      </w:pPr>
    </w:p>
    <w:tbl>
      <w:tblPr>
        <w:tblStyle w:val="22"/>
        <w:tblW w:w="0" w:type="auto"/>
        <w:tblLook w:val="04A0" w:firstRow="1" w:lastRow="0" w:firstColumn="1" w:lastColumn="0" w:noHBand="0" w:noVBand="1"/>
      </w:tblPr>
      <w:tblGrid>
        <w:gridCol w:w="8306"/>
      </w:tblGrid>
      <w:tr w:rsidR="00830ED3" w14:paraId="0A014D0D"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03485C15"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宁波浙海关旧址博物馆西立面图</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6025AD7A"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6EF5A0C6"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207CFEE8" w14:textId="77777777" w:rsidR="00830ED3" w:rsidRDefault="00830ED3">
      <w:pPr>
        <w:widowControl/>
        <w:autoSpaceDE w:val="0"/>
        <w:autoSpaceDN w:val="0"/>
        <w:jc w:val="left"/>
        <w:rPr>
          <w:rFonts w:ascii="SimSun" w:eastAsia="SimSun" w:hAnsi="Times New Roman" w:cs="Times New Roman"/>
          <w:kern w:val="0"/>
          <w:sz w:val="22"/>
          <w:szCs w:val="22"/>
        </w:rPr>
      </w:pPr>
    </w:p>
    <w:p w14:paraId="764BDF19" w14:textId="77777777" w:rsidR="00830ED3" w:rsidRDefault="00000000">
      <w:pPr>
        <w:widowControl/>
        <w:autoSpaceDE w:val="0"/>
        <w:autoSpaceDN w:val="0"/>
        <w:ind w:firstLineChars="200" w:firstLine="440"/>
        <w:jc w:val="left"/>
        <w:rPr>
          <w:rFonts w:ascii="SimSun" w:eastAsia="SimSun" w:hAnsi="SimSun" w:cs="Times New Roman"/>
          <w:color w:val="000000"/>
          <w:kern w:val="0"/>
          <w:sz w:val="22"/>
          <w:szCs w:val="21"/>
        </w:rPr>
      </w:pPr>
      <w:r>
        <w:rPr>
          <w:rFonts w:ascii="SimSun" w:eastAsia="SimSun" w:hAnsi="Times New Roman" w:cs="Times New Roman"/>
          <w:noProof/>
          <w:kern w:val="0"/>
          <w:sz w:val="22"/>
          <w:szCs w:val="22"/>
        </w:rPr>
        <w:drawing>
          <wp:inline distT="0" distB="0" distL="0" distR="0" wp14:anchorId="6F4DEE1B" wp14:editId="1BB46863">
            <wp:extent cx="5149850" cy="3232150"/>
            <wp:effectExtent l="0" t="0" r="0" b="6350"/>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149850" cy="3232150"/>
                    </a:xfrm>
                    <a:prstGeom prst="rect">
                      <a:avLst/>
                    </a:prstGeom>
                    <a:noFill/>
                    <a:ln>
                      <a:noFill/>
                    </a:ln>
                  </pic:spPr>
                </pic:pic>
              </a:graphicData>
            </a:graphic>
          </wp:inline>
        </w:drawing>
      </w:r>
    </w:p>
    <w:p w14:paraId="57BAB399" w14:textId="77777777" w:rsidR="00830ED3" w:rsidRDefault="00830ED3">
      <w:pPr>
        <w:keepNext/>
        <w:keepLines/>
        <w:widowControl/>
        <w:autoSpaceDE w:val="0"/>
        <w:autoSpaceDN w:val="0"/>
        <w:spacing w:before="340" w:after="330" w:line="578" w:lineRule="auto"/>
        <w:jc w:val="left"/>
        <w:outlineLvl w:val="0"/>
        <w:rPr>
          <w:rFonts w:ascii="SimSun" w:eastAsia="SimSun" w:hAnsi="Times New Roman" w:cs="Times New Roman"/>
          <w:b/>
          <w:bCs/>
          <w:kern w:val="44"/>
          <w:sz w:val="44"/>
          <w:szCs w:val="44"/>
        </w:rPr>
      </w:pPr>
    </w:p>
    <w:tbl>
      <w:tblPr>
        <w:tblStyle w:val="22"/>
        <w:tblW w:w="0" w:type="auto"/>
        <w:tblLook w:val="04A0" w:firstRow="1" w:lastRow="0" w:firstColumn="1" w:lastColumn="0" w:noHBand="0" w:noVBand="1"/>
      </w:tblPr>
      <w:tblGrid>
        <w:gridCol w:w="8306"/>
      </w:tblGrid>
      <w:tr w:rsidR="00830ED3" w14:paraId="0C77CA7F"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3088D59E"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宁波浙海关旧址博物馆北立面图</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19BFB72E"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6AA0112C"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lastRenderedPageBreak/>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6AE30C4A" w14:textId="77777777" w:rsidR="00830ED3" w:rsidRDefault="00830ED3">
      <w:pPr>
        <w:widowControl/>
        <w:autoSpaceDE w:val="0"/>
        <w:autoSpaceDN w:val="0"/>
        <w:jc w:val="left"/>
        <w:rPr>
          <w:rFonts w:ascii="SimSun" w:eastAsia="SimSun" w:hAnsi="Times New Roman" w:cs="Times New Roman"/>
          <w:kern w:val="0"/>
          <w:sz w:val="22"/>
          <w:szCs w:val="22"/>
        </w:rPr>
      </w:pPr>
    </w:p>
    <w:p w14:paraId="235B7602" w14:textId="77777777" w:rsidR="00830ED3" w:rsidRDefault="00830ED3">
      <w:pPr>
        <w:widowControl/>
        <w:autoSpaceDE w:val="0"/>
        <w:autoSpaceDN w:val="0"/>
        <w:jc w:val="left"/>
        <w:rPr>
          <w:rFonts w:ascii="SimSun" w:eastAsia="SimSun" w:hAnsi="Times New Roman" w:cs="Times New Roman"/>
          <w:kern w:val="0"/>
          <w:sz w:val="22"/>
          <w:szCs w:val="22"/>
        </w:rPr>
      </w:pPr>
    </w:p>
    <w:p w14:paraId="06CAFFA0" w14:textId="77777777" w:rsidR="00830ED3" w:rsidRDefault="00000000">
      <w:pPr>
        <w:widowControl/>
        <w:autoSpaceDE w:val="0"/>
        <w:autoSpaceDN w:val="0"/>
        <w:jc w:val="left"/>
        <w:rPr>
          <w:rFonts w:ascii="SimSun" w:eastAsia="SimSun" w:hAnsi="Times New Roman" w:cs="Times New Roman"/>
          <w:kern w:val="0"/>
          <w:sz w:val="22"/>
          <w:szCs w:val="22"/>
        </w:rPr>
      </w:pPr>
      <w:r>
        <w:rPr>
          <w:rFonts w:ascii="SimSun" w:eastAsia="SimSun" w:hAnsi="Times New Roman" w:cs="Times New Roman"/>
          <w:noProof/>
          <w:kern w:val="0"/>
          <w:sz w:val="22"/>
          <w:szCs w:val="22"/>
        </w:rPr>
        <w:drawing>
          <wp:inline distT="0" distB="0" distL="0" distR="0" wp14:anchorId="73156B10" wp14:editId="17B9417F">
            <wp:extent cx="5213350" cy="3270250"/>
            <wp:effectExtent l="0" t="0" r="6350" b="635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13350" cy="3270250"/>
                    </a:xfrm>
                    <a:prstGeom prst="rect">
                      <a:avLst/>
                    </a:prstGeom>
                    <a:noFill/>
                    <a:ln>
                      <a:noFill/>
                    </a:ln>
                  </pic:spPr>
                </pic:pic>
              </a:graphicData>
            </a:graphic>
          </wp:inline>
        </w:drawing>
      </w:r>
    </w:p>
    <w:p w14:paraId="34BD48E2" w14:textId="77777777" w:rsidR="00830ED3" w:rsidRDefault="00830ED3">
      <w:pPr>
        <w:widowControl/>
        <w:autoSpaceDE w:val="0"/>
        <w:autoSpaceDN w:val="0"/>
        <w:jc w:val="left"/>
        <w:rPr>
          <w:rFonts w:ascii="SimSun" w:eastAsia="SimSun" w:hAnsi="Times New Roman" w:cs="Times New Roman"/>
          <w:kern w:val="0"/>
          <w:sz w:val="22"/>
          <w:szCs w:val="22"/>
        </w:rPr>
      </w:pPr>
    </w:p>
    <w:tbl>
      <w:tblPr>
        <w:tblStyle w:val="22"/>
        <w:tblW w:w="0" w:type="auto"/>
        <w:tblLook w:val="04A0" w:firstRow="1" w:lastRow="0" w:firstColumn="1" w:lastColumn="0" w:noHBand="0" w:noVBand="1"/>
      </w:tblPr>
      <w:tblGrid>
        <w:gridCol w:w="8306"/>
      </w:tblGrid>
      <w:tr w:rsidR="00830ED3" w14:paraId="498BED0D"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5CA1E2F0"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宁波浙海关旧址博物馆南立面图</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7FDA6B6A"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1811D9BA"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7957C035" w14:textId="77777777" w:rsidR="00830ED3" w:rsidRDefault="00830ED3">
      <w:pPr>
        <w:widowControl/>
        <w:autoSpaceDE w:val="0"/>
        <w:autoSpaceDN w:val="0"/>
        <w:jc w:val="left"/>
        <w:rPr>
          <w:rFonts w:ascii="SimSun" w:eastAsia="SimSun" w:hAnsi="Times New Roman" w:cs="Times New Roman"/>
          <w:kern w:val="0"/>
          <w:sz w:val="22"/>
          <w:szCs w:val="22"/>
        </w:rPr>
      </w:pPr>
    </w:p>
    <w:p w14:paraId="3675B774" w14:textId="77777777" w:rsidR="00830ED3" w:rsidRDefault="00000000">
      <w:pPr>
        <w:widowControl/>
        <w:autoSpaceDE w:val="0"/>
        <w:autoSpaceDN w:val="0"/>
        <w:ind w:firstLineChars="100" w:firstLine="220"/>
        <w:jc w:val="left"/>
        <w:rPr>
          <w:rFonts w:ascii="SimSun" w:eastAsia="SimSun" w:hAnsi="Times New Roman" w:cs="Times New Roman"/>
          <w:kern w:val="0"/>
          <w:sz w:val="22"/>
          <w:szCs w:val="22"/>
        </w:rPr>
      </w:pPr>
      <w:r>
        <w:rPr>
          <w:rFonts w:ascii="SimSun" w:eastAsia="SimSun" w:hAnsi="Times New Roman" w:cs="Times New Roman"/>
          <w:noProof/>
          <w:kern w:val="0"/>
          <w:sz w:val="22"/>
          <w:szCs w:val="22"/>
        </w:rPr>
        <w:drawing>
          <wp:inline distT="0" distB="0" distL="0" distR="0" wp14:anchorId="39126234" wp14:editId="114E4028">
            <wp:extent cx="5111750" cy="3206750"/>
            <wp:effectExtent l="0" t="0" r="0" b="0"/>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111750" cy="3206750"/>
                    </a:xfrm>
                    <a:prstGeom prst="rect">
                      <a:avLst/>
                    </a:prstGeom>
                    <a:noFill/>
                    <a:ln>
                      <a:noFill/>
                    </a:ln>
                  </pic:spPr>
                </pic:pic>
              </a:graphicData>
            </a:graphic>
          </wp:inline>
        </w:drawing>
      </w:r>
    </w:p>
    <w:tbl>
      <w:tblPr>
        <w:tblStyle w:val="22"/>
        <w:tblW w:w="0" w:type="auto"/>
        <w:tblLook w:val="04A0" w:firstRow="1" w:lastRow="0" w:firstColumn="1" w:lastColumn="0" w:noHBand="0" w:noVBand="1"/>
      </w:tblPr>
      <w:tblGrid>
        <w:gridCol w:w="8306"/>
      </w:tblGrid>
      <w:tr w:rsidR="00830ED3" w14:paraId="218F39DD"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5D0B9CE7"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宁波浙海关旧址博物馆剖面图</w:t>
            </w:r>
            <w:r>
              <w:rPr>
                <w:rFonts w:ascii="SimSun" w:eastAsia="Times New Roman" w:hAnsi="Calibri" w:cs="Times New Roman" w:hint="eastAsia"/>
                <w:kern w:val="0"/>
                <w:sz w:val="22"/>
                <w:szCs w:val="22"/>
              </w:rPr>
              <w:t xml:space="preserve">1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677FDFF0"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0EAB9500"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2FBEEA35" w14:textId="77777777" w:rsidR="00830ED3" w:rsidRDefault="00830ED3">
      <w:pPr>
        <w:widowControl/>
        <w:autoSpaceDE w:val="0"/>
        <w:autoSpaceDN w:val="0"/>
        <w:jc w:val="left"/>
        <w:rPr>
          <w:rFonts w:ascii="SimSun" w:eastAsia="SimSun" w:hAnsi="Times New Roman" w:cs="Times New Roman"/>
          <w:kern w:val="0"/>
          <w:sz w:val="22"/>
          <w:szCs w:val="22"/>
        </w:rPr>
      </w:pPr>
    </w:p>
    <w:p w14:paraId="4A2BBBEF" w14:textId="77777777" w:rsidR="00830ED3" w:rsidRDefault="00000000">
      <w:pPr>
        <w:widowControl/>
        <w:autoSpaceDE w:val="0"/>
        <w:autoSpaceDN w:val="0"/>
        <w:jc w:val="left"/>
        <w:rPr>
          <w:rFonts w:ascii="SimSun" w:eastAsia="SimSun" w:hAnsi="Times New Roman" w:cs="Times New Roman"/>
          <w:kern w:val="0"/>
          <w:sz w:val="22"/>
          <w:szCs w:val="22"/>
        </w:rPr>
      </w:pPr>
      <w:r>
        <w:rPr>
          <w:rFonts w:ascii="SimSun" w:eastAsia="SimSun" w:hAnsi="Times New Roman" w:cs="Times New Roman"/>
          <w:noProof/>
          <w:kern w:val="0"/>
          <w:sz w:val="22"/>
          <w:szCs w:val="22"/>
        </w:rPr>
        <w:lastRenderedPageBreak/>
        <w:drawing>
          <wp:inline distT="0" distB="0" distL="0" distR="0" wp14:anchorId="01FFFB27" wp14:editId="5452B89F">
            <wp:extent cx="5486400" cy="3441700"/>
            <wp:effectExtent l="0" t="0" r="0" b="6350"/>
            <wp:docPr id="1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486400" cy="3441700"/>
                    </a:xfrm>
                    <a:prstGeom prst="rect">
                      <a:avLst/>
                    </a:prstGeom>
                    <a:noFill/>
                    <a:ln>
                      <a:noFill/>
                    </a:ln>
                  </pic:spPr>
                </pic:pic>
              </a:graphicData>
            </a:graphic>
          </wp:inline>
        </w:drawing>
      </w:r>
    </w:p>
    <w:tbl>
      <w:tblPr>
        <w:tblStyle w:val="22"/>
        <w:tblW w:w="0" w:type="auto"/>
        <w:tblLook w:val="04A0" w:firstRow="1" w:lastRow="0" w:firstColumn="1" w:lastColumn="0" w:noHBand="0" w:noVBand="1"/>
      </w:tblPr>
      <w:tblGrid>
        <w:gridCol w:w="8306"/>
      </w:tblGrid>
      <w:tr w:rsidR="00830ED3" w14:paraId="408E93C2"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0AD5A103"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宁波浙海关旧址博物馆剖面图</w:t>
            </w:r>
            <w:r>
              <w:rPr>
                <w:rFonts w:ascii="SimSun" w:eastAsia="Times New Roman" w:hAnsi="Calibri" w:cs="Times New Roman" w:hint="eastAsia"/>
                <w:kern w:val="0"/>
                <w:sz w:val="22"/>
                <w:szCs w:val="22"/>
              </w:rPr>
              <w:t>2</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4EBABFCA"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38C73EA3"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6D5C9AA5" w14:textId="77777777" w:rsidR="00830ED3" w:rsidRDefault="00830ED3">
      <w:pPr>
        <w:widowControl/>
        <w:autoSpaceDE w:val="0"/>
        <w:autoSpaceDN w:val="0"/>
        <w:jc w:val="left"/>
        <w:rPr>
          <w:rFonts w:ascii="SimSun" w:eastAsia="SimSun" w:hAnsi="Times New Roman" w:cs="Times New Roman"/>
          <w:kern w:val="0"/>
          <w:sz w:val="22"/>
          <w:szCs w:val="22"/>
        </w:rPr>
      </w:pPr>
    </w:p>
    <w:p w14:paraId="14A5AC39" w14:textId="77777777" w:rsidR="00830ED3" w:rsidRDefault="00000000">
      <w:pPr>
        <w:widowControl/>
        <w:autoSpaceDE w:val="0"/>
        <w:autoSpaceDN w:val="0"/>
        <w:jc w:val="left"/>
        <w:rPr>
          <w:rFonts w:ascii="SimSun" w:eastAsia="SimSun" w:hAnsi="Times New Roman" w:cs="Times New Roman"/>
          <w:kern w:val="0"/>
          <w:sz w:val="22"/>
          <w:szCs w:val="22"/>
        </w:rPr>
      </w:pPr>
      <w:r>
        <w:rPr>
          <w:rFonts w:ascii="SimSun" w:eastAsia="SimSun" w:hAnsi="Times New Roman" w:cs="Times New Roman"/>
          <w:noProof/>
          <w:kern w:val="0"/>
          <w:sz w:val="22"/>
          <w:szCs w:val="22"/>
        </w:rPr>
        <w:drawing>
          <wp:inline distT="0" distB="0" distL="0" distR="0" wp14:anchorId="0481811D" wp14:editId="7742D560">
            <wp:extent cx="5486400" cy="3441700"/>
            <wp:effectExtent l="0" t="0" r="0" b="6350"/>
            <wp:docPr id="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86400" cy="3441700"/>
                    </a:xfrm>
                    <a:prstGeom prst="rect">
                      <a:avLst/>
                    </a:prstGeom>
                    <a:noFill/>
                    <a:ln>
                      <a:noFill/>
                    </a:ln>
                  </pic:spPr>
                </pic:pic>
              </a:graphicData>
            </a:graphic>
          </wp:inline>
        </w:drawing>
      </w:r>
    </w:p>
    <w:tbl>
      <w:tblPr>
        <w:tblStyle w:val="22"/>
        <w:tblW w:w="0" w:type="auto"/>
        <w:tblLook w:val="04A0" w:firstRow="1" w:lastRow="0" w:firstColumn="1" w:lastColumn="0" w:noHBand="0" w:noVBand="1"/>
      </w:tblPr>
      <w:tblGrid>
        <w:gridCol w:w="8306"/>
      </w:tblGrid>
      <w:tr w:rsidR="00830ED3" w14:paraId="72E170D0"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32CCB8FC"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宁波浙海关旧址博物馆剖面图</w:t>
            </w:r>
            <w:r>
              <w:rPr>
                <w:rFonts w:ascii="SimSun" w:eastAsia="Times New Roman" w:hAnsi="Calibri" w:cs="Times New Roman" w:hint="eastAsia"/>
                <w:kern w:val="0"/>
                <w:sz w:val="22"/>
                <w:szCs w:val="22"/>
              </w:rPr>
              <w:t>3</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39999359"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4DB1D086"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53B6A209" w14:textId="77777777" w:rsidR="00830ED3" w:rsidRDefault="00830ED3">
      <w:pPr>
        <w:keepNext/>
        <w:keepLines/>
        <w:widowControl/>
        <w:autoSpaceDE w:val="0"/>
        <w:autoSpaceDN w:val="0"/>
        <w:spacing w:before="340" w:after="330" w:line="578" w:lineRule="auto"/>
        <w:jc w:val="left"/>
        <w:outlineLvl w:val="0"/>
        <w:rPr>
          <w:rFonts w:ascii="SimSun" w:eastAsia="SimSun" w:hAnsi="Times New Roman" w:cs="Times New Roman"/>
          <w:b/>
          <w:bCs/>
          <w:kern w:val="44"/>
          <w:sz w:val="44"/>
          <w:szCs w:val="44"/>
        </w:rPr>
      </w:pPr>
    </w:p>
    <w:p w14:paraId="207311E8" w14:textId="77777777" w:rsidR="00830ED3" w:rsidRDefault="00000000">
      <w:pPr>
        <w:widowControl/>
        <w:autoSpaceDE w:val="0"/>
        <w:autoSpaceDN w:val="0"/>
        <w:jc w:val="left"/>
        <w:rPr>
          <w:rFonts w:ascii="SimSun" w:eastAsia="SimSun" w:hAnsi="Times New Roman" w:cs="Times New Roman"/>
          <w:kern w:val="0"/>
          <w:sz w:val="22"/>
          <w:szCs w:val="22"/>
        </w:rPr>
      </w:pPr>
      <w:r>
        <w:rPr>
          <w:rFonts w:ascii="SimSun" w:eastAsia="SimSun" w:hAnsi="Times New Roman" w:cs="Times New Roman"/>
          <w:noProof/>
          <w:kern w:val="0"/>
          <w:sz w:val="22"/>
          <w:szCs w:val="22"/>
        </w:rPr>
        <w:drawing>
          <wp:inline distT="0" distB="0" distL="0" distR="0" wp14:anchorId="5A00CBA5" wp14:editId="6B9157E0">
            <wp:extent cx="5486400" cy="3441700"/>
            <wp:effectExtent l="0" t="0" r="0" b="6350"/>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486400" cy="3441700"/>
                    </a:xfrm>
                    <a:prstGeom prst="rect">
                      <a:avLst/>
                    </a:prstGeom>
                    <a:noFill/>
                    <a:ln>
                      <a:noFill/>
                    </a:ln>
                  </pic:spPr>
                </pic:pic>
              </a:graphicData>
            </a:graphic>
          </wp:inline>
        </w:drawing>
      </w:r>
    </w:p>
    <w:tbl>
      <w:tblPr>
        <w:tblStyle w:val="22"/>
        <w:tblW w:w="0" w:type="auto"/>
        <w:tblLook w:val="04A0" w:firstRow="1" w:lastRow="0" w:firstColumn="1" w:lastColumn="0" w:noHBand="0" w:noVBand="1"/>
      </w:tblPr>
      <w:tblGrid>
        <w:gridCol w:w="8306"/>
      </w:tblGrid>
      <w:tr w:rsidR="00830ED3" w14:paraId="2655FCDD" w14:textId="77777777" w:rsidTr="0083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right w:val="nil"/>
            </w:tcBorders>
          </w:tcPr>
          <w:p w14:paraId="7982B490"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图纸名称</w:t>
            </w:r>
            <w:r>
              <w:rPr>
                <w:rFonts w:ascii="SimSun" w:eastAsia="Times New Roman" w:hAnsi="Calibri" w:cs="Times New Roman" w:hint="eastAsia"/>
                <w:kern w:val="0"/>
                <w:sz w:val="22"/>
                <w:szCs w:val="22"/>
              </w:rPr>
              <w:t>:</w:t>
            </w:r>
            <w:r>
              <w:rPr>
                <w:rFonts w:ascii="SimSun" w:eastAsia="SimSun" w:hAnsi="SimSun" w:cs="SimSun" w:hint="eastAsia"/>
                <w:kern w:val="0"/>
                <w:sz w:val="22"/>
                <w:szCs w:val="22"/>
              </w:rPr>
              <w:t>宁波浙海关旧址博物馆剖面图</w:t>
            </w:r>
            <w:r>
              <w:rPr>
                <w:rFonts w:ascii="SimSun" w:eastAsia="Times New Roman" w:hAnsi="Calibri" w:cs="Times New Roman" w:hint="eastAsia"/>
                <w:kern w:val="0"/>
                <w:sz w:val="22"/>
                <w:szCs w:val="22"/>
              </w:rPr>
              <w:t xml:space="preserve">4     </w:t>
            </w:r>
            <w:r>
              <w:rPr>
                <w:rFonts w:ascii="SimSun" w:eastAsia="SimSun" w:hAnsi="SimSun" w:cs="SimSun" w:hint="eastAsia"/>
                <w:kern w:val="0"/>
                <w:sz w:val="22"/>
                <w:szCs w:val="22"/>
              </w:rPr>
              <w:t>比例</w:t>
            </w:r>
            <w:r>
              <w:rPr>
                <w:rFonts w:ascii="SimSun" w:eastAsia="Times New Roman" w:hAnsi="Calibri" w:cs="Times New Roman" w:hint="eastAsia"/>
                <w:kern w:val="0"/>
                <w:sz w:val="22"/>
                <w:szCs w:val="22"/>
              </w:rPr>
              <w:t xml:space="preserve">: </w:t>
            </w:r>
            <w:r>
              <w:rPr>
                <w:rFonts w:ascii="SimSun" w:eastAsia="SimSun" w:hAnsi="SimSun" w:cs="SimSun" w:hint="eastAsia"/>
                <w:kern w:val="0"/>
                <w:sz w:val="22"/>
                <w:szCs w:val="22"/>
              </w:rPr>
              <w:t>如图示</w:t>
            </w:r>
          </w:p>
        </w:tc>
      </w:tr>
      <w:tr w:rsidR="00830ED3" w14:paraId="6240FE0B" w14:textId="77777777" w:rsidTr="00830ED3">
        <w:tc>
          <w:tcPr>
            <w:cnfStyle w:val="001000000000" w:firstRow="0" w:lastRow="0" w:firstColumn="1" w:lastColumn="0" w:oddVBand="0" w:evenVBand="0" w:oddHBand="0" w:evenHBand="0" w:firstRowFirstColumn="0" w:firstRowLastColumn="0" w:lastRowFirstColumn="0" w:lastRowLastColumn="0"/>
            <w:tcW w:w="8630" w:type="dxa"/>
            <w:tcBorders>
              <w:top w:val="single" w:sz="4" w:space="0" w:color="7F7F7F"/>
              <w:left w:val="nil"/>
              <w:bottom w:val="single" w:sz="4" w:space="0" w:color="7F7F7F"/>
              <w:right w:val="nil"/>
            </w:tcBorders>
          </w:tcPr>
          <w:p w14:paraId="4BD26A33" w14:textId="77777777" w:rsidR="00830ED3" w:rsidRDefault="00000000">
            <w:pPr>
              <w:widowControl/>
              <w:autoSpaceDE w:val="0"/>
              <w:autoSpaceDN w:val="0"/>
              <w:jc w:val="left"/>
              <w:rPr>
                <w:rFonts w:ascii="SimSun" w:eastAsia="Times New Roman" w:hAnsi="Calibri" w:cs="Times New Roman"/>
                <w:b w:val="0"/>
                <w:bCs w:val="0"/>
                <w:kern w:val="0"/>
                <w:sz w:val="22"/>
                <w:szCs w:val="22"/>
              </w:rPr>
            </w:pPr>
            <w:r>
              <w:rPr>
                <w:rFonts w:ascii="SimSun" w:eastAsia="SimSun" w:hAnsi="SimSun" w:cs="SimSun" w:hint="eastAsia"/>
                <w:kern w:val="0"/>
                <w:sz w:val="22"/>
                <w:szCs w:val="22"/>
              </w:rPr>
              <w:t>绘制人</w:t>
            </w:r>
            <w:r>
              <w:rPr>
                <w:rFonts w:ascii="SimSun" w:eastAsia="Times New Roman" w:hAnsi="Calibri" w:cs="Times New Roman" w:hint="eastAsia"/>
                <w:kern w:val="0"/>
                <w:sz w:val="22"/>
                <w:szCs w:val="22"/>
              </w:rPr>
              <w:tab/>
              <w:t>:</w:t>
            </w:r>
            <w:r>
              <w:rPr>
                <w:rFonts w:ascii="SimSun" w:eastAsia="SimSun" w:hAnsi="SimSun" w:cs="SimSun" w:hint="eastAsia"/>
                <w:kern w:val="0"/>
                <w:sz w:val="22"/>
                <w:szCs w:val="22"/>
              </w:rPr>
              <w:t>杨宇宸，张轩瑞</w:t>
            </w:r>
            <w:r>
              <w:rPr>
                <w:rFonts w:ascii="SimSun" w:eastAsia="Times New Roman" w:hAnsi="Calibri" w:cs="Times New Roman" w:hint="eastAsia"/>
                <w:kern w:val="0"/>
                <w:sz w:val="22"/>
                <w:szCs w:val="22"/>
              </w:rPr>
              <w:tab/>
              <w:t xml:space="preserve">                   </w:t>
            </w:r>
            <w:r>
              <w:rPr>
                <w:rFonts w:ascii="SimSun" w:eastAsia="SimSun" w:hAnsi="SimSun" w:cs="SimSun" w:hint="eastAsia"/>
                <w:kern w:val="0"/>
                <w:sz w:val="22"/>
                <w:szCs w:val="22"/>
              </w:rPr>
              <w:t>绘制时间</w:t>
            </w:r>
            <w:r>
              <w:rPr>
                <w:rFonts w:ascii="SimSun" w:eastAsia="Times New Roman" w:hAnsi="Calibri" w:cs="Times New Roman" w:hint="eastAsia"/>
                <w:kern w:val="0"/>
                <w:sz w:val="22"/>
                <w:szCs w:val="22"/>
              </w:rPr>
              <w:t>: 2025.1.18</w:t>
            </w:r>
          </w:p>
        </w:tc>
      </w:tr>
    </w:tbl>
    <w:p w14:paraId="725ECBD4" w14:textId="77777777" w:rsidR="00830ED3" w:rsidRDefault="00830ED3">
      <w:pPr>
        <w:widowControl/>
        <w:autoSpaceDE w:val="0"/>
        <w:autoSpaceDN w:val="0"/>
        <w:jc w:val="left"/>
        <w:rPr>
          <w:rFonts w:ascii="SimSun" w:eastAsia="SimSun" w:hAnsi="Times New Roman" w:cs="Times New Roman"/>
          <w:kern w:val="0"/>
          <w:sz w:val="22"/>
          <w:szCs w:val="22"/>
        </w:rPr>
      </w:pPr>
    </w:p>
    <w:p w14:paraId="39BE6A12" w14:textId="77777777" w:rsidR="00830ED3" w:rsidRDefault="00830ED3">
      <w:pPr>
        <w:spacing w:line="360" w:lineRule="auto"/>
        <w:rPr>
          <w:rFonts w:ascii="FangSong" w:eastAsia="FangSong" w:hAnsi="FangSong" w:cs="FangSong"/>
        </w:rPr>
      </w:pPr>
    </w:p>
    <w:p w14:paraId="58F7F726" w14:textId="77777777" w:rsidR="00830ED3" w:rsidRDefault="00000000">
      <w:pPr>
        <w:spacing w:line="360" w:lineRule="auto"/>
        <w:rPr>
          <w:rFonts w:ascii="FangSong" w:eastAsia="FangSong" w:hAnsi="FangSong" w:cs="FangSong"/>
        </w:rPr>
      </w:pPr>
      <w:r>
        <w:rPr>
          <w:rFonts w:ascii="FangSong" w:eastAsia="FangSong" w:hAnsi="FangSong" w:cs="FangSong" w:hint="eastAsia"/>
        </w:rPr>
        <w:t>六、特色解读</w:t>
      </w:r>
    </w:p>
    <w:p w14:paraId="3BD15900" w14:textId="77777777" w:rsidR="00830ED3" w:rsidRDefault="00000000">
      <w:pPr>
        <w:spacing w:line="360" w:lineRule="auto"/>
        <w:ind w:firstLineChars="200" w:firstLine="420"/>
        <w:rPr>
          <w:rFonts w:ascii="FangSong" w:eastAsia="FangSong" w:hAnsi="FangSong" w:cs="FangSong"/>
        </w:rPr>
      </w:pPr>
      <w:r>
        <w:rPr>
          <w:rFonts w:ascii="FangSong" w:eastAsia="FangSong" w:hAnsi="FangSong" w:cs="FangSong" w:hint="eastAsia"/>
        </w:rPr>
        <w:t>这栋建筑是浙海关建筑群中遗存到现在的两栋建筑之一。该建筑编号为No.1 and 5，为浙海关检察员宿舍及办公楼。该建筑建造于1909年10月，共花费13313.3海关两，该建筑是浙海关建筑群中唯一的三层建筑。如建筑名称所示，该建筑为复合功能建筑，其一层为浙海关验货房及海关监察长办公室，而二层与三层则为海关监察长的住宅。这是一座砖砌三层加阁楼的殖民式建筑。</w:t>
      </w:r>
    </w:p>
    <w:p w14:paraId="695039ED" w14:textId="77777777" w:rsidR="00830ED3" w:rsidRDefault="00000000">
      <w:pPr>
        <w:spacing w:line="360" w:lineRule="auto"/>
        <w:ind w:firstLineChars="200" w:firstLine="420"/>
      </w:pPr>
      <w:r>
        <w:rPr>
          <w:rFonts w:ascii="FangSong" w:eastAsia="FangSong" w:hAnsi="FangSong" w:cs="FangSong" w:hint="eastAsia"/>
        </w:rPr>
        <w:t>该建筑体现了殖民式建筑在中国的本地化演变进程。开埠早期即1840年至1860年修建的殖民式外廊建筑因为砖强度低且耐候性差，承重墙体厚实，墙砖外面覆以白色的灰泥或粉刷，依靠灰泥的防水和耐候性能保护墙体 。而从十九世纪80年代开始，这种抹灰式的立面逐渐被青砖与红砖立面取代。从整体上看，英印式建筑是新古典主义建筑在中国再次进行了本地化，具有新古典主义特征的白色抹灰立面被青红砖立面所取代.在宁波，最早修建于1865年的两栋海关建筑开始使用石膏抹灰的白色立面，这种立面风格一直延续到1889年修</w:t>
      </w:r>
      <w:r>
        <w:rPr>
          <w:rFonts w:ascii="FangSong" w:eastAsia="FangSong" w:hAnsi="FangSong" w:cs="FangSong" w:hint="eastAsia"/>
        </w:rPr>
        <w:lastRenderedPageBreak/>
        <w:t>建的浙江海关镇海分关办公楼及宿舍。而从1907年开始，浙海关建筑开始使用这种发源于上海的青砖与红砖混合使用的立面装饰风格，现存最典型的案例就是现存的浙海关旧址博物馆。同时在建筑平面角度，该建筑也反映了殖民建筑在中国的本地化演变，与早期的海关建筑相比，该建筑不具有独立的大型院落和与建筑主体分隔的仆人区，而是将类似的功能设置在一层的小型院落中，但是建筑的内部平面又保持了与其印度原型一致的特征，大量的门将所有的房间连接成连续的通道。</w:t>
      </w:r>
    </w:p>
    <w:p w14:paraId="45CB2CA3" w14:textId="77777777" w:rsidR="00830ED3" w:rsidRDefault="00000000">
      <w:pPr>
        <w:rPr>
          <w:rFonts w:ascii="DengXian" w:eastAsia="DengXian" w:hAnsi="DengXian" w:cs="Times New Roman"/>
          <w:color w:val="4874CB" w:themeColor="accent1"/>
        </w:rPr>
      </w:pPr>
      <w:r>
        <w:rPr>
          <w:rFonts w:ascii="DengXian" w:eastAsia="DengXian" w:hAnsi="DengXian" w:cs="Times New Roman" w:hint="eastAsia"/>
          <w:noProof/>
          <w:color w:val="4874CB" w:themeColor="accent1"/>
        </w:rPr>
        <w:drawing>
          <wp:inline distT="0" distB="0" distL="0" distR="0" wp14:anchorId="41E50B89" wp14:editId="0AF85479">
            <wp:extent cx="5282565" cy="3846195"/>
            <wp:effectExtent l="0" t="0" r="13335" b="1905"/>
            <wp:docPr id="89" name="图片 65227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6522747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rot="10800000">
                      <a:off x="0" y="0"/>
                      <a:ext cx="5282565" cy="3846195"/>
                    </a:xfrm>
                    <a:prstGeom prst="rect">
                      <a:avLst/>
                    </a:prstGeom>
                    <a:noFill/>
                    <a:ln>
                      <a:noFill/>
                    </a:ln>
                  </pic:spPr>
                </pic:pic>
              </a:graphicData>
            </a:graphic>
          </wp:inline>
        </w:drawing>
      </w:r>
    </w:p>
    <w:p w14:paraId="1E7C4681" w14:textId="77777777" w:rsidR="00830ED3" w:rsidRDefault="00000000">
      <w:r>
        <w:rPr>
          <w:rFonts w:hint="eastAsia"/>
        </w:rPr>
        <w:t>浙海关职员宿舍楼街区历史照片</w:t>
      </w:r>
    </w:p>
    <w:p w14:paraId="20A97BD0" w14:textId="77777777" w:rsidR="00830ED3" w:rsidRDefault="00000000">
      <w:pPr>
        <w:spacing w:line="360" w:lineRule="auto"/>
        <w:rPr>
          <w:rFonts w:ascii="DengXian" w:eastAsia="DengXian" w:hAnsi="DengXian" w:cs="Times New Roman"/>
          <w:color w:val="4874CB" w:themeColor="accent1"/>
        </w:rPr>
      </w:pPr>
      <w:r>
        <w:rPr>
          <w:rFonts w:ascii="DengXian" w:eastAsia="DengXian" w:hAnsi="DengXian" w:cs="Times New Roman" w:hint="eastAsia"/>
          <w:noProof/>
          <w:color w:val="4874CB" w:themeColor="accent1"/>
        </w:rPr>
        <w:lastRenderedPageBreak/>
        <w:drawing>
          <wp:inline distT="0" distB="0" distL="0" distR="0" wp14:anchorId="73CD674B" wp14:editId="2A009113">
            <wp:extent cx="5292725" cy="3661410"/>
            <wp:effectExtent l="0" t="0" r="3175" b="15240"/>
            <wp:docPr id="92" name="图片 65227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6522747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92725" cy="3661410"/>
                    </a:xfrm>
                    <a:prstGeom prst="rect">
                      <a:avLst/>
                    </a:prstGeom>
                    <a:noFill/>
                    <a:ln>
                      <a:noFill/>
                    </a:ln>
                  </pic:spPr>
                </pic:pic>
              </a:graphicData>
            </a:graphic>
          </wp:inline>
        </w:drawing>
      </w:r>
    </w:p>
    <w:p w14:paraId="20FF8FD7" w14:textId="77777777" w:rsidR="00830ED3" w:rsidRDefault="00000000">
      <w:r>
        <w:rPr>
          <w:rFonts w:hint="eastAsia"/>
        </w:rPr>
        <w:t>浙海关镇海分管职员宿舍</w:t>
      </w:r>
    </w:p>
    <w:p w14:paraId="073DE434" w14:textId="77777777" w:rsidR="00830ED3" w:rsidRDefault="00000000">
      <w:pPr>
        <w:spacing w:line="360" w:lineRule="auto"/>
        <w:rPr>
          <w:rFonts w:ascii="DengXian" w:eastAsia="DengXian" w:hAnsi="DengXian" w:cs="Times New Roman"/>
          <w:color w:val="4874CB" w:themeColor="accent1"/>
        </w:rPr>
      </w:pPr>
      <w:r>
        <w:rPr>
          <w:rFonts w:ascii="DengXian" w:eastAsia="DengXian" w:hAnsi="DengXian" w:cs="Times New Roman"/>
          <w:noProof/>
          <w:color w:val="4874CB" w:themeColor="accent1"/>
        </w:rPr>
        <w:drawing>
          <wp:inline distT="0" distB="0" distL="0" distR="0" wp14:anchorId="72CA3DDF" wp14:editId="53B48826">
            <wp:extent cx="5276215" cy="3683635"/>
            <wp:effectExtent l="0" t="0" r="635" b="12065"/>
            <wp:docPr id="1974080634" name="图片 65227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80634" name="图片 6522747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76215" cy="3683635"/>
                    </a:xfrm>
                    <a:prstGeom prst="rect">
                      <a:avLst/>
                    </a:prstGeom>
                    <a:noFill/>
                    <a:ln>
                      <a:noFill/>
                    </a:ln>
                  </pic:spPr>
                </pic:pic>
              </a:graphicData>
            </a:graphic>
          </wp:inline>
        </w:drawing>
      </w:r>
    </w:p>
    <w:p w14:paraId="6C686219" w14:textId="77777777" w:rsidR="00830ED3" w:rsidRDefault="00000000">
      <w:r>
        <w:rPr>
          <w:rFonts w:hint="eastAsia"/>
        </w:rPr>
        <w:t>浙海关税务司公馆</w:t>
      </w:r>
    </w:p>
    <w:p w14:paraId="7B8856A9" w14:textId="77777777" w:rsidR="00830ED3" w:rsidRDefault="00000000">
      <w:pPr>
        <w:spacing w:line="360" w:lineRule="auto"/>
        <w:rPr>
          <w:rFonts w:ascii="DengXian" w:eastAsia="DengXian" w:hAnsi="DengXian" w:cs="Times New Roman"/>
          <w:color w:val="4874CB" w:themeColor="accent1"/>
        </w:rPr>
      </w:pPr>
      <w:r>
        <w:rPr>
          <w:rFonts w:ascii="DengXian" w:eastAsia="DengXian" w:hAnsi="DengXian" w:cs="Times New Roman"/>
          <w:noProof/>
          <w:color w:val="4874CB" w:themeColor="accent1"/>
        </w:rPr>
        <w:lastRenderedPageBreak/>
        <w:drawing>
          <wp:inline distT="0" distB="0" distL="0" distR="0" wp14:anchorId="4FD80879" wp14:editId="2DC9EEA9">
            <wp:extent cx="5285740" cy="3759200"/>
            <wp:effectExtent l="0" t="0" r="10160" b="12700"/>
            <wp:docPr id="1974080635" name="图片 65227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80635" name="图片 65227470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85740" cy="3759200"/>
                    </a:xfrm>
                    <a:prstGeom prst="rect">
                      <a:avLst/>
                    </a:prstGeom>
                    <a:noFill/>
                    <a:ln>
                      <a:noFill/>
                    </a:ln>
                  </pic:spPr>
                </pic:pic>
              </a:graphicData>
            </a:graphic>
          </wp:inline>
        </w:drawing>
      </w:r>
    </w:p>
    <w:p w14:paraId="38717BB8" w14:textId="77777777" w:rsidR="00830ED3" w:rsidRDefault="00000000">
      <w:r>
        <w:rPr>
          <w:rFonts w:hint="eastAsia"/>
        </w:rPr>
        <w:t>浙海关宁波关建筑群历史照片</w:t>
      </w:r>
    </w:p>
    <w:p w14:paraId="74A41217" w14:textId="77777777" w:rsidR="00830ED3" w:rsidRDefault="00000000">
      <w:pPr>
        <w:spacing w:line="360" w:lineRule="auto"/>
        <w:rPr>
          <w:rFonts w:ascii="DengXian" w:eastAsia="DengXian" w:hAnsi="DengXian" w:cs="Times New Roman"/>
          <w:color w:val="4874CB" w:themeColor="accent1"/>
        </w:rPr>
      </w:pPr>
      <w:r>
        <w:rPr>
          <w:rFonts w:ascii="DengXian" w:eastAsia="DengXian" w:hAnsi="DengXian" w:cs="Times New Roman"/>
          <w:noProof/>
          <w:color w:val="4874CB" w:themeColor="accent1"/>
        </w:rPr>
        <w:drawing>
          <wp:inline distT="0" distB="0" distL="0" distR="0" wp14:anchorId="36D5A808" wp14:editId="3D9BFE31">
            <wp:extent cx="5464810" cy="3614420"/>
            <wp:effectExtent l="0" t="0" r="2540" b="5080"/>
            <wp:docPr id="1974080619"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80619" name="图片 10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464810" cy="3614420"/>
                    </a:xfrm>
                    <a:prstGeom prst="rect">
                      <a:avLst/>
                    </a:prstGeom>
                    <a:noFill/>
                    <a:ln>
                      <a:noFill/>
                    </a:ln>
                  </pic:spPr>
                </pic:pic>
              </a:graphicData>
            </a:graphic>
          </wp:inline>
        </w:drawing>
      </w:r>
    </w:p>
    <w:p w14:paraId="5556EACC" w14:textId="77777777" w:rsidR="00830ED3" w:rsidRDefault="00000000">
      <w:r>
        <w:rPr>
          <w:rFonts w:hint="eastAsia"/>
        </w:rPr>
        <w:t>宁波江北外人居留地码头</w:t>
      </w:r>
    </w:p>
    <w:p w14:paraId="027A8A46"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七、百工解构</w:t>
      </w:r>
    </w:p>
    <w:p w14:paraId="32176411" w14:textId="77777777" w:rsidR="00830ED3" w:rsidRDefault="00000000">
      <w:pPr>
        <w:pStyle w:val="1"/>
        <w:jc w:val="both"/>
      </w:pPr>
      <w:r>
        <w:rPr>
          <w:rFonts w:hint="eastAsia"/>
        </w:rPr>
        <w:t>交大</w:t>
      </w:r>
    </w:p>
    <w:p w14:paraId="4666A257" w14:textId="77777777" w:rsidR="00830ED3" w:rsidRDefault="00830ED3">
      <w:pPr>
        <w:pStyle w:val="1"/>
      </w:pPr>
    </w:p>
    <w:p w14:paraId="6A6EBCFE"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八、保护修复</w:t>
      </w:r>
    </w:p>
    <w:p w14:paraId="355550DD" w14:textId="77777777" w:rsidR="00830ED3" w:rsidRDefault="00000000">
      <w:pPr>
        <w:spacing w:line="360" w:lineRule="auto"/>
        <w:rPr>
          <w:rFonts w:ascii="FangSong" w:eastAsia="FangSong" w:hAnsi="FangSong" w:cs="FangSong"/>
        </w:rPr>
      </w:pPr>
      <w:r>
        <w:rPr>
          <w:rFonts w:ascii="FangSong" w:eastAsia="FangSong" w:hAnsi="FangSong" w:cs="FangSong" w:hint="eastAsia"/>
        </w:rPr>
        <w:t xml:space="preserve">2005年保国寺古建筑博物馆委托浙江省古建筑设计研究院编制完成《浙海关旧址维修方案》。2006年3月，浙江省文物局《关于宁波江北岸近代建筑群之浙海关旧址施工设计的批复》（浙文物发〔2006〕52号）批准了该维修方案。施工项目于2006年12月开工，2007年5月竣工。2007年8月16日，浙江省文物局专家组进行了工程竣工验收。项目建设单位是宁波市保国寺古建筑博物馆，设计单位是浙江省古建筑设计研究院，施工单位是常熟古建园林建设集团有限公司，监理单位是浙江省古典建筑工程监理有限公司。2019年，浙海关旧址因结构安全隐患停止对外开放，随后在省市文物及建筑结构专家的多次会诊后，历经近一年之久的加固维修工程，消除了墙体、内柱等存在的安全隐患，同时修补了外墙面风化裂隙，基本恢复了浙海关旧址初始的面貌。加固维修期间，浙海关旧址在运用现代化手段持续监测应力应变、裂缝大小等结构变化的同时，还完成了数字化信息扫描工作，建立了完整的三维模型，能够更加及时快捷地掌握旧址保存状况。2022年1月1日，浙海关旧址恢复免费开放。 </w:t>
      </w:r>
      <w:r>
        <w:rPr>
          <w:rFonts w:ascii="FangSong" w:eastAsia="FangSong" w:hAnsi="FangSong" w:cs="FangSong"/>
        </w:rPr>
        <w:t xml:space="preserve"> </w:t>
      </w:r>
    </w:p>
    <w:p w14:paraId="250BFA0A"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九、相关文献</w:t>
      </w:r>
    </w:p>
    <w:p w14:paraId="57841D9C" w14:textId="77777777" w:rsidR="00830ED3" w:rsidRDefault="00000000">
      <w:pPr>
        <w:spacing w:line="360" w:lineRule="auto"/>
        <w:rPr>
          <w:rFonts w:ascii="FangSong" w:eastAsia="FangSong" w:hAnsi="FangSong" w:cs="FangSong"/>
        </w:rPr>
      </w:pPr>
      <w:r>
        <w:rPr>
          <w:rFonts w:ascii="FangSong" w:eastAsia="FangSong" w:hAnsi="FangSong" w:cs="FangSong" w:hint="eastAsia"/>
        </w:rPr>
        <w:t>1.</w:t>
      </w:r>
      <w:r>
        <w:rPr>
          <w:rFonts w:ascii="FangSong" w:eastAsia="FangSong" w:hAnsi="FangSong" w:cs="FangSong" w:hint="eastAsia"/>
        </w:rPr>
        <w:tab/>
        <w:t>出版书籍</w:t>
      </w:r>
    </w:p>
    <w:p w14:paraId="0270CA8F" w14:textId="77777777" w:rsidR="00830ED3" w:rsidRDefault="00830ED3">
      <w:pPr>
        <w:spacing w:line="360" w:lineRule="auto"/>
        <w:rPr>
          <w:rFonts w:ascii="FangSong" w:eastAsia="FangSong" w:hAnsi="FangSong" w:cs="FangSong"/>
        </w:rPr>
      </w:pPr>
    </w:p>
    <w:p w14:paraId="3C177E1B" w14:textId="77777777" w:rsidR="00830ED3" w:rsidRDefault="00000000">
      <w:pPr>
        <w:spacing w:line="360" w:lineRule="auto"/>
        <w:rPr>
          <w:rFonts w:ascii="FangSong" w:eastAsia="FangSong" w:hAnsi="FangSong" w:cs="FangSong"/>
        </w:rPr>
      </w:pPr>
      <w:r>
        <w:rPr>
          <w:rFonts w:ascii="FangSong" w:eastAsia="FangSong" w:hAnsi="FangSong" w:cs="FangSong" w:hint="eastAsia"/>
        </w:rPr>
        <w:t>陈定萼. 鄞县宗教志[M]. 鄞县宗教志编纂委员会, 团结出版社, 1993年.</w:t>
      </w:r>
    </w:p>
    <w:p w14:paraId="6C4DA774" w14:textId="77777777" w:rsidR="00830ED3" w:rsidRDefault="00830ED3">
      <w:pPr>
        <w:spacing w:line="360" w:lineRule="auto"/>
        <w:rPr>
          <w:rFonts w:ascii="FangSong" w:eastAsia="FangSong" w:hAnsi="FangSong" w:cs="FangSong"/>
        </w:rPr>
      </w:pPr>
    </w:p>
    <w:p w14:paraId="7A1DEF38" w14:textId="77777777" w:rsidR="00830ED3" w:rsidRDefault="00000000">
      <w:pPr>
        <w:spacing w:line="360" w:lineRule="auto"/>
        <w:rPr>
          <w:rFonts w:ascii="FangSong" w:eastAsia="FangSong" w:hAnsi="FangSong" w:cs="FangSong"/>
        </w:rPr>
      </w:pPr>
      <w:r>
        <w:rPr>
          <w:rFonts w:ascii="FangSong" w:eastAsia="FangSong" w:hAnsi="FangSong" w:cs="FangSong" w:hint="eastAsia"/>
        </w:rPr>
        <w:t>傅亦民.宁波宗教建筑研究[M].宁波出版社:201307.505.</w:t>
      </w:r>
    </w:p>
    <w:p w14:paraId="696F2EB4" w14:textId="77777777" w:rsidR="00830ED3" w:rsidRDefault="00830ED3">
      <w:pPr>
        <w:spacing w:line="360" w:lineRule="auto"/>
        <w:rPr>
          <w:rFonts w:ascii="FangSong" w:eastAsia="FangSong" w:hAnsi="FangSong" w:cs="FangSong"/>
        </w:rPr>
      </w:pPr>
    </w:p>
    <w:p w14:paraId="695F96DD" w14:textId="77777777" w:rsidR="00830ED3" w:rsidRDefault="00000000">
      <w:pPr>
        <w:spacing w:line="360" w:lineRule="auto"/>
        <w:rPr>
          <w:rFonts w:ascii="FangSong" w:eastAsia="FangSong" w:hAnsi="FangSong" w:cs="FangSong"/>
        </w:rPr>
      </w:pPr>
      <w:r>
        <w:rPr>
          <w:rFonts w:ascii="FangSong" w:eastAsia="FangSong" w:hAnsi="FangSong" w:cs="FangSong" w:hint="eastAsia"/>
        </w:rPr>
        <w:t>吴锋钢. 宁波外滩近代建筑研究[M]. 宁波: 宁波出版社, 2023.</w:t>
      </w:r>
    </w:p>
    <w:p w14:paraId="132B9692" w14:textId="77777777" w:rsidR="00830ED3" w:rsidRDefault="00000000">
      <w:pPr>
        <w:spacing w:line="360" w:lineRule="auto"/>
        <w:rPr>
          <w:rFonts w:ascii="FangSong" w:eastAsia="FangSong" w:hAnsi="FangSong" w:cs="FangSong"/>
        </w:rPr>
      </w:pPr>
      <w:r>
        <w:rPr>
          <w:rFonts w:ascii="FangSong" w:eastAsia="FangSong" w:hAnsi="FangSong" w:cs="FangSong" w:hint="eastAsia"/>
        </w:rPr>
        <w:t>2.</w:t>
      </w:r>
      <w:r>
        <w:rPr>
          <w:rFonts w:ascii="FangSong" w:eastAsia="FangSong" w:hAnsi="FangSong" w:cs="FangSong" w:hint="eastAsia"/>
        </w:rPr>
        <w:tab/>
        <w:t>期刊杂志</w:t>
      </w:r>
    </w:p>
    <w:p w14:paraId="0A3C234D" w14:textId="77777777" w:rsidR="00830ED3" w:rsidRDefault="00830ED3">
      <w:pPr>
        <w:spacing w:line="360" w:lineRule="auto"/>
        <w:rPr>
          <w:rFonts w:ascii="FangSong" w:eastAsia="FangSong" w:hAnsi="FangSong" w:cs="FangSong"/>
        </w:rPr>
      </w:pPr>
    </w:p>
    <w:p w14:paraId="402306A8" w14:textId="77777777" w:rsidR="00830ED3" w:rsidRDefault="00000000">
      <w:pPr>
        <w:spacing w:line="360" w:lineRule="auto"/>
        <w:rPr>
          <w:rFonts w:ascii="FangSong" w:eastAsia="FangSong" w:hAnsi="FangSong" w:cs="FangSong"/>
        </w:rPr>
      </w:pPr>
      <w:r>
        <w:rPr>
          <w:rFonts w:ascii="FangSong" w:eastAsia="FangSong" w:hAnsi="FangSong" w:cs="FangSong" w:hint="eastAsia"/>
        </w:rPr>
        <w:t>安全宁波老外滩百年天主教堂起火损毁[J].宁波通讯,2014,(14):43.</w:t>
      </w:r>
    </w:p>
    <w:p w14:paraId="1AC33207" w14:textId="77777777" w:rsidR="00830ED3" w:rsidRDefault="00830ED3">
      <w:pPr>
        <w:spacing w:line="360" w:lineRule="auto"/>
        <w:rPr>
          <w:rFonts w:ascii="FangSong" w:eastAsia="FangSong" w:hAnsi="FangSong" w:cs="FangSong"/>
        </w:rPr>
      </w:pPr>
    </w:p>
    <w:p w14:paraId="4D62E599" w14:textId="77777777" w:rsidR="00830ED3" w:rsidRDefault="00000000">
      <w:pPr>
        <w:spacing w:line="360" w:lineRule="auto"/>
        <w:rPr>
          <w:rFonts w:ascii="FangSong" w:eastAsia="FangSong" w:hAnsi="FangSong" w:cs="FangSong"/>
        </w:rPr>
      </w:pPr>
      <w:r>
        <w:rPr>
          <w:rFonts w:ascii="FangSong" w:eastAsia="FangSong" w:hAnsi="FangSong" w:cs="FangSong" w:hint="eastAsia"/>
        </w:rPr>
        <w:t>陈益龙,宋吟霞.从宁波江北教堂看西方文化建筑对宁波建筑的影响[J].中外建筑,2010,(09):85-87.</w:t>
      </w:r>
    </w:p>
    <w:p w14:paraId="660EFB1E" w14:textId="77777777" w:rsidR="00830ED3" w:rsidRDefault="00830ED3">
      <w:pPr>
        <w:spacing w:line="360" w:lineRule="auto"/>
        <w:rPr>
          <w:rFonts w:ascii="FangSong" w:eastAsia="FangSong" w:hAnsi="FangSong" w:cs="FangSong"/>
        </w:rPr>
      </w:pPr>
    </w:p>
    <w:p w14:paraId="67C49440" w14:textId="77777777" w:rsidR="00830ED3" w:rsidRDefault="00000000">
      <w:pPr>
        <w:spacing w:line="360" w:lineRule="auto"/>
        <w:rPr>
          <w:rFonts w:ascii="FangSong" w:eastAsia="FangSong" w:hAnsi="FangSong" w:cs="FangSong"/>
        </w:rPr>
      </w:pPr>
      <w:r>
        <w:rPr>
          <w:rFonts w:ascii="FangSong" w:eastAsia="FangSong" w:hAnsi="FangSong" w:cs="FangSong" w:hint="eastAsia"/>
        </w:rPr>
        <w:lastRenderedPageBreak/>
        <w:t>傅亦民.移植和本土化——中西文化共同作用下的宁波江北天主教堂[J].中外建筑,2014,(02):41-43.DOI:10.19940/j.cnki.1008-0422.2014.02.009.</w:t>
      </w:r>
    </w:p>
    <w:p w14:paraId="7B7839BB" w14:textId="77777777" w:rsidR="00830ED3" w:rsidRDefault="00830ED3">
      <w:pPr>
        <w:spacing w:line="360" w:lineRule="auto"/>
        <w:rPr>
          <w:rFonts w:ascii="FangSong" w:eastAsia="FangSong" w:hAnsi="FangSong" w:cs="FangSong"/>
        </w:rPr>
      </w:pPr>
    </w:p>
    <w:p w14:paraId="4E4BBD02" w14:textId="77777777" w:rsidR="00830ED3" w:rsidRDefault="00000000">
      <w:pPr>
        <w:spacing w:line="360" w:lineRule="auto"/>
        <w:rPr>
          <w:rFonts w:ascii="FangSong" w:eastAsia="FangSong" w:hAnsi="FangSong" w:cs="FangSong"/>
        </w:rPr>
      </w:pPr>
      <w:r>
        <w:rPr>
          <w:rFonts w:ascii="FangSong" w:eastAsia="FangSong" w:hAnsi="FangSong" w:cs="FangSong" w:hint="eastAsia"/>
        </w:rPr>
        <w:t>侯新新.地权与国权：清末民初浙江教会租地案研究[D].杭州师范大学,2016.</w:t>
      </w:r>
    </w:p>
    <w:p w14:paraId="4A9EDC27" w14:textId="77777777" w:rsidR="00830ED3" w:rsidRDefault="00830ED3">
      <w:pPr>
        <w:spacing w:line="360" w:lineRule="auto"/>
        <w:rPr>
          <w:rFonts w:ascii="FangSong" w:eastAsia="FangSong" w:hAnsi="FangSong" w:cs="FangSong"/>
        </w:rPr>
      </w:pPr>
    </w:p>
    <w:p w14:paraId="4B70A99F" w14:textId="77777777" w:rsidR="00830ED3" w:rsidRDefault="00000000">
      <w:pPr>
        <w:spacing w:line="360" w:lineRule="auto"/>
        <w:rPr>
          <w:rFonts w:ascii="FangSong" w:eastAsia="FangSong" w:hAnsi="FangSong" w:cs="FangSong"/>
        </w:rPr>
      </w:pPr>
      <w:r>
        <w:rPr>
          <w:rFonts w:ascii="FangSong" w:eastAsia="FangSong" w:hAnsi="FangSong" w:cs="FangSong" w:hint="eastAsia"/>
        </w:rPr>
        <w:t>黄定福.浅谈历史街区保护与弘扬城市文化提升城市品位的关系——以宁波外滩天主教堂外马路历史街区为例[J].中共宁波市委党校学报,2009,31(04):110-114.</w:t>
      </w:r>
    </w:p>
    <w:p w14:paraId="3C28105A" w14:textId="77777777" w:rsidR="00830ED3" w:rsidRDefault="00830ED3">
      <w:pPr>
        <w:spacing w:line="360" w:lineRule="auto"/>
        <w:rPr>
          <w:rFonts w:ascii="FangSong" w:eastAsia="FangSong" w:hAnsi="FangSong" w:cs="FangSong"/>
        </w:rPr>
      </w:pPr>
    </w:p>
    <w:p w14:paraId="6808337F" w14:textId="77777777" w:rsidR="00830ED3" w:rsidRDefault="00000000">
      <w:pPr>
        <w:spacing w:line="360" w:lineRule="auto"/>
        <w:rPr>
          <w:rFonts w:ascii="FangSong" w:eastAsia="FangSong" w:hAnsi="FangSong" w:cs="FangSong"/>
        </w:rPr>
      </w:pPr>
      <w:r>
        <w:rPr>
          <w:rFonts w:ascii="FangSong" w:eastAsia="FangSong" w:hAnsi="FangSong" w:cs="FangSong" w:hint="eastAsia"/>
        </w:rPr>
        <w:t>卢江良.宁波江北天主堂一座百年教堂的历史与重生[J].中国宗教,2020,(11):92-93.</w:t>
      </w:r>
    </w:p>
    <w:p w14:paraId="1DAC7112" w14:textId="77777777" w:rsidR="00830ED3" w:rsidRDefault="00830ED3">
      <w:pPr>
        <w:spacing w:line="360" w:lineRule="auto"/>
        <w:rPr>
          <w:rFonts w:ascii="FangSong" w:eastAsia="FangSong" w:hAnsi="FangSong" w:cs="FangSong"/>
        </w:rPr>
      </w:pPr>
    </w:p>
    <w:p w14:paraId="7B7A8286" w14:textId="77777777" w:rsidR="00830ED3" w:rsidRDefault="00000000">
      <w:pPr>
        <w:spacing w:line="360" w:lineRule="auto"/>
        <w:rPr>
          <w:rFonts w:ascii="FangSong" w:eastAsia="FangSong" w:hAnsi="FangSong" w:cs="FangSong"/>
        </w:rPr>
      </w:pPr>
      <w:r>
        <w:rPr>
          <w:rFonts w:ascii="FangSong" w:eastAsia="FangSong" w:hAnsi="FangSong" w:cs="FangSong" w:hint="eastAsia"/>
        </w:rPr>
        <w:t>丕新.我所知道的江北岸[J].宁波通讯,</w:t>
      </w:r>
    </w:p>
    <w:p w14:paraId="25EE375B" w14:textId="77777777" w:rsidR="00830ED3" w:rsidRDefault="00000000">
      <w:pPr>
        <w:spacing w:line="360" w:lineRule="auto"/>
        <w:rPr>
          <w:rFonts w:ascii="FangSong" w:eastAsia="FangSong" w:hAnsi="FangSong" w:cs="FangSong"/>
        </w:rPr>
      </w:pPr>
      <w:r>
        <w:rPr>
          <w:rFonts w:ascii="FangSong" w:eastAsia="FangSong" w:hAnsi="FangSong" w:cs="FangSong"/>
        </w:rPr>
        <w:t>2004,(12):47.DOI:10.16710/j.cnki.cn33-1272/d.2004.12.003.</w:t>
      </w:r>
    </w:p>
    <w:p w14:paraId="3ECE6E75" w14:textId="77777777" w:rsidR="00830ED3" w:rsidRDefault="00830ED3">
      <w:pPr>
        <w:spacing w:line="360" w:lineRule="auto"/>
        <w:rPr>
          <w:rFonts w:ascii="FangSong" w:eastAsia="FangSong" w:hAnsi="FangSong" w:cs="FangSong"/>
        </w:rPr>
      </w:pPr>
    </w:p>
    <w:p w14:paraId="10705486" w14:textId="77777777" w:rsidR="00830ED3" w:rsidRDefault="00000000">
      <w:pPr>
        <w:spacing w:line="360" w:lineRule="auto"/>
        <w:rPr>
          <w:rFonts w:ascii="FangSong" w:eastAsia="FangSong" w:hAnsi="FangSong" w:cs="FangSong"/>
        </w:rPr>
      </w:pPr>
      <w:r>
        <w:rPr>
          <w:rFonts w:ascii="FangSong" w:eastAsia="FangSong" w:hAnsi="FangSong" w:cs="FangSong" w:hint="eastAsia"/>
        </w:rPr>
        <w:t>饶晓晓.近代杭州、宁波城市建设的现代化进程及其比较研究（1840～1937年）[D].浙江大学,2016.</w:t>
      </w:r>
    </w:p>
    <w:p w14:paraId="4067603D" w14:textId="77777777" w:rsidR="00830ED3" w:rsidRDefault="00830ED3">
      <w:pPr>
        <w:spacing w:line="360" w:lineRule="auto"/>
        <w:rPr>
          <w:rFonts w:ascii="FangSong" w:eastAsia="FangSong" w:hAnsi="FangSong" w:cs="FangSong"/>
        </w:rPr>
      </w:pPr>
    </w:p>
    <w:p w14:paraId="58E3C98B" w14:textId="77777777" w:rsidR="00830ED3" w:rsidRDefault="00000000">
      <w:pPr>
        <w:spacing w:line="360" w:lineRule="auto"/>
        <w:rPr>
          <w:rFonts w:ascii="FangSong" w:eastAsia="FangSong" w:hAnsi="FangSong" w:cs="FangSong"/>
        </w:rPr>
      </w:pPr>
      <w:r>
        <w:rPr>
          <w:rFonts w:ascii="FangSong" w:eastAsia="FangSong" w:hAnsi="FangSong" w:cs="FangSong" w:hint="eastAsia"/>
        </w:rPr>
        <w:t>宋吟霞.宁波江北岸外滩近代建筑研究[D].浙江大学,2017.</w:t>
      </w:r>
    </w:p>
    <w:p w14:paraId="35B7BAFB" w14:textId="77777777" w:rsidR="00830ED3" w:rsidRDefault="00830ED3">
      <w:pPr>
        <w:spacing w:line="360" w:lineRule="auto"/>
        <w:rPr>
          <w:rFonts w:ascii="FangSong" w:eastAsia="FangSong" w:hAnsi="FangSong" w:cs="FangSong"/>
        </w:rPr>
      </w:pPr>
    </w:p>
    <w:p w14:paraId="648CEEB9" w14:textId="77777777" w:rsidR="00830ED3" w:rsidRDefault="00000000">
      <w:pPr>
        <w:spacing w:line="360" w:lineRule="auto"/>
        <w:rPr>
          <w:rFonts w:ascii="FangSong" w:eastAsia="FangSong" w:hAnsi="FangSong" w:cs="FangSong"/>
        </w:rPr>
      </w:pPr>
      <w:r>
        <w:rPr>
          <w:rFonts w:ascii="FangSong" w:eastAsia="FangSong" w:hAnsi="FangSong" w:cs="FangSong" w:hint="eastAsia"/>
        </w:rPr>
        <w:t>杨洁.浙江近代典型教堂建筑研究[D].浙江大学,2007.</w:t>
      </w:r>
    </w:p>
    <w:p w14:paraId="0DAF0A40" w14:textId="77777777" w:rsidR="00830ED3" w:rsidRDefault="00830ED3">
      <w:pPr>
        <w:spacing w:line="360" w:lineRule="auto"/>
        <w:rPr>
          <w:rFonts w:ascii="FangSong" w:eastAsia="FangSong" w:hAnsi="FangSong" w:cs="FangSong"/>
        </w:rPr>
      </w:pPr>
    </w:p>
    <w:p w14:paraId="0F28E0F7" w14:textId="77777777" w:rsidR="00830ED3" w:rsidRDefault="00000000">
      <w:pPr>
        <w:spacing w:line="360" w:lineRule="auto"/>
        <w:rPr>
          <w:rFonts w:ascii="FangSong" w:eastAsia="FangSong" w:hAnsi="FangSong" w:cs="FangSong"/>
        </w:rPr>
      </w:pPr>
      <w:r>
        <w:rPr>
          <w:rFonts w:ascii="FangSong" w:eastAsia="FangSong" w:hAnsi="FangSong" w:cs="FangSong" w:hint="eastAsia"/>
        </w:rPr>
        <w:t>浙江宁波主教座堂遭大火焚毁[J].中国天主教,2014,(04):45.</w:t>
      </w:r>
    </w:p>
    <w:p w14:paraId="2E4B218C" w14:textId="77777777" w:rsidR="00830ED3" w:rsidRDefault="00000000">
      <w:pPr>
        <w:spacing w:line="360" w:lineRule="auto"/>
        <w:rPr>
          <w:rFonts w:ascii="FangSong" w:eastAsia="FangSong" w:hAnsi="FangSong" w:cs="FangSong"/>
          <w:b/>
          <w:bCs/>
        </w:rPr>
      </w:pPr>
      <w:r>
        <w:rPr>
          <w:rFonts w:ascii="FangSong" w:eastAsia="FangSong" w:hAnsi="FangSong" w:cs="FangSong" w:hint="eastAsia"/>
          <w:b/>
          <w:bCs/>
        </w:rPr>
        <w:t>十、数字档案</w:t>
      </w:r>
    </w:p>
    <w:p w14:paraId="1352CC15" w14:textId="77777777" w:rsidR="00830ED3" w:rsidRDefault="00000000">
      <w:pPr>
        <w:spacing w:line="360" w:lineRule="auto"/>
        <w:jc w:val="center"/>
        <w:rPr>
          <w:rFonts w:ascii="FangSong" w:eastAsia="FangSong" w:hAnsi="FangSong" w:cs="FangSong"/>
        </w:rPr>
      </w:pPr>
      <w:r>
        <w:rPr>
          <w:noProof/>
        </w:rPr>
        <w:lastRenderedPageBreak/>
        <w:drawing>
          <wp:inline distT="0" distB="0" distL="114300" distR="114300" wp14:anchorId="24737BFD" wp14:editId="7D6858BF">
            <wp:extent cx="3536950" cy="3556000"/>
            <wp:effectExtent l="0" t="0" r="1905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5"/>
                    <a:stretch>
                      <a:fillRect/>
                    </a:stretch>
                  </pic:blipFill>
                  <pic:spPr>
                    <a:xfrm>
                      <a:off x="0" y="0"/>
                      <a:ext cx="3536950" cy="3556000"/>
                    </a:xfrm>
                    <a:prstGeom prst="rect">
                      <a:avLst/>
                    </a:prstGeom>
                    <a:noFill/>
                    <a:ln>
                      <a:noFill/>
                    </a:ln>
                  </pic:spPr>
                </pic:pic>
              </a:graphicData>
            </a:graphic>
          </wp:inline>
        </w:drawing>
      </w:r>
    </w:p>
    <w:sectPr w:rsidR="00830ED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軟正黑體">
    <w:altName w:val="Microsoft JhengHei"/>
    <w:panose1 w:val="020B0604030504040204"/>
    <w:charset w:val="88"/>
    <w:family w:val="swiss"/>
    <w:pitch w:val="variable"/>
    <w:sig w:usb0="00000087" w:usb1="288F4000" w:usb2="00000016" w:usb3="00000000" w:csb0="00100009" w:csb1="00000000"/>
  </w:font>
  <w:font w:name="SimHei">
    <w:altName w:val="黑体"/>
    <w:panose1 w:val="02010609060101010101"/>
    <w:charset w:val="86"/>
    <w:family w:val="modern"/>
    <w:pitch w:val="fixed"/>
    <w:sig w:usb0="800002BF" w:usb1="38CF7CFA" w:usb2="00000016" w:usb3="00000000" w:csb0="00040001" w:csb1="00000000"/>
  </w:font>
  <w:font w:name="FangSong">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7E21D6"/>
    <w:multiLevelType w:val="singleLevel"/>
    <w:tmpl w:val="E57E21D6"/>
    <w:lvl w:ilvl="0">
      <w:start w:val="2"/>
      <w:numFmt w:val="decimal"/>
      <w:suff w:val="nothing"/>
      <w:lvlText w:val="%1、"/>
      <w:lvlJc w:val="left"/>
    </w:lvl>
  </w:abstractNum>
  <w:abstractNum w:abstractNumId="1" w15:restartNumberingAfterBreak="0">
    <w:nsid w:val="FB7F288A"/>
    <w:multiLevelType w:val="singleLevel"/>
    <w:tmpl w:val="FB7F288A"/>
    <w:lvl w:ilvl="0">
      <w:start w:val="5"/>
      <w:numFmt w:val="chineseCounting"/>
      <w:suff w:val="nothing"/>
      <w:lvlText w:val="%1、"/>
      <w:lvlJc w:val="left"/>
      <w:rPr>
        <w:rFonts w:hint="eastAsia"/>
      </w:rPr>
    </w:lvl>
  </w:abstractNum>
  <w:num w:numId="1" w16cid:durableId="866061703">
    <w:abstractNumId w:val="0"/>
  </w:num>
  <w:num w:numId="2" w16cid:durableId="1271351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7"/>
  <w:doNotDisplayPageBoundaries/>
  <w:embedSystemFonts/>
  <w:hideSpellingErrors/>
  <w:hideGrammaticalError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69A77"/>
    <w:rsid w:val="00082E28"/>
    <w:rsid w:val="0016289C"/>
    <w:rsid w:val="00254925"/>
    <w:rsid w:val="002E4856"/>
    <w:rsid w:val="00325978"/>
    <w:rsid w:val="00345EC4"/>
    <w:rsid w:val="00355A2C"/>
    <w:rsid w:val="00393DE3"/>
    <w:rsid w:val="003B4D32"/>
    <w:rsid w:val="00530943"/>
    <w:rsid w:val="005D104D"/>
    <w:rsid w:val="00663AC5"/>
    <w:rsid w:val="0068334D"/>
    <w:rsid w:val="00707A58"/>
    <w:rsid w:val="007F6284"/>
    <w:rsid w:val="00816EBA"/>
    <w:rsid w:val="00830ED3"/>
    <w:rsid w:val="00B87BCB"/>
    <w:rsid w:val="00BC711B"/>
    <w:rsid w:val="00CB35A2"/>
    <w:rsid w:val="00D00CDF"/>
    <w:rsid w:val="00D60DD0"/>
    <w:rsid w:val="00E43B4A"/>
    <w:rsid w:val="00E7585D"/>
    <w:rsid w:val="3BA5076A"/>
    <w:rsid w:val="3EE69A77"/>
    <w:rsid w:val="61A82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307BA4C"/>
  <w15:docId w15:val="{53EFE370-F6EC-FE4F-9BE3-4020B9483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4"/>
      <w:lang w:eastAsia="zh-CN"/>
    </w:rPr>
  </w:style>
  <w:style w:type="paragraph" w:styleId="1">
    <w:name w:val="heading 1"/>
    <w:basedOn w:val="a"/>
    <w:next w:val="a"/>
    <w:qFormat/>
    <w:pPr>
      <w:spacing w:line="560" w:lineRule="exact"/>
      <w:jc w:val="center"/>
      <w:outlineLvl w:val="0"/>
    </w:pPr>
    <w:rPr>
      <w:rFonts w:ascii="微軟正黑體"/>
      <w:b/>
      <w:sz w:val="32"/>
      <w:szCs w:val="44"/>
    </w:rPr>
  </w:style>
  <w:style w:type="paragraph" w:styleId="2">
    <w:name w:val="heading 2"/>
    <w:basedOn w:val="a"/>
    <w:next w:val="a"/>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tabs>
        <w:tab w:val="center" w:pos="4153"/>
        <w:tab w:val="right" w:pos="8306"/>
      </w:tabs>
      <w:snapToGrid w:val="0"/>
      <w:jc w:val="center"/>
    </w:pPr>
    <w:rPr>
      <w:sz w:val="18"/>
      <w:szCs w:val="18"/>
    </w:rPr>
  </w:style>
  <w:style w:type="character" w:styleId="a7">
    <w:name w:val="Strong"/>
    <w:basedOn w:val="a0"/>
    <w:qFormat/>
    <w:rPr>
      <w:b/>
    </w:rPr>
  </w:style>
  <w:style w:type="table" w:customStyle="1" w:styleId="21">
    <w:name w:val="无格式表格 21"/>
    <w:basedOn w:val="a1"/>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basedOn w:val="a"/>
    <w:pPr>
      <w:autoSpaceDE w:val="0"/>
      <w:ind w:firstLineChars="200" w:firstLine="420"/>
    </w:pPr>
    <w:rPr>
      <w:rFonts w:ascii="Calibri" w:eastAsia="SimSun" w:hAnsi="Calibri" w:cs="Times New Roman"/>
      <w:szCs w:val="21"/>
    </w:rPr>
  </w:style>
  <w:style w:type="character" w:customStyle="1" w:styleId="a6">
    <w:name w:val="頁首 字元"/>
    <w:basedOn w:val="a0"/>
    <w:link w:val="a5"/>
    <w:rPr>
      <w:rFonts w:asciiTheme="minorHAnsi" w:eastAsiaTheme="minorEastAsia" w:hAnsiTheme="minorHAnsi" w:cstheme="minorBidi"/>
      <w:kern w:val="2"/>
      <w:sz w:val="18"/>
      <w:szCs w:val="18"/>
    </w:rPr>
  </w:style>
  <w:style w:type="character" w:customStyle="1" w:styleId="a4">
    <w:name w:val="頁尾 字元"/>
    <w:basedOn w:val="a0"/>
    <w:link w:val="a3"/>
    <w:rPr>
      <w:rFonts w:asciiTheme="minorHAnsi" w:eastAsiaTheme="minorEastAsia" w:hAnsiTheme="minorHAnsi" w:cstheme="minorBidi"/>
      <w:kern w:val="2"/>
      <w:sz w:val="18"/>
      <w:szCs w:val="18"/>
    </w:rPr>
  </w:style>
  <w:style w:type="table" w:customStyle="1" w:styleId="210">
    <w:name w:val="純表格 21"/>
    <w:basedOn w:val="a1"/>
    <w:uiPriority w:val="42"/>
    <w:qFormat/>
    <w:rPr>
      <w:rFonts w:asciiTheme="minorHAnsi" w:eastAsiaTheme="minorEastAsia" w:hAnsiTheme="minorHAnsi" w:cstheme="minorBidi"/>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2">
    <w:name w:val="无格式表格 22"/>
    <w:basedOn w:val="a1"/>
    <w:uiPriority w:val="42"/>
    <w:qFormat/>
    <w:rPr>
      <w:rFonts w:ascii="Calibri" w:eastAsia="Times New Roman" w:hAnsi="Calibri"/>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955</Words>
  <Characters>5446</Characters>
  <Application>Microsoft Office Word</Application>
  <DocSecurity>0</DocSecurity>
  <Lines>45</Lines>
  <Paragraphs>12</Paragraphs>
  <ScaleCrop>false</ScaleCrop>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dc:creator>
  <cp:lastModifiedBy>WangBraun</cp:lastModifiedBy>
  <cp:revision>2</cp:revision>
  <dcterms:created xsi:type="dcterms:W3CDTF">2026-09-07T06:34:00Z</dcterms:created>
  <dcterms:modified xsi:type="dcterms:W3CDTF">2026-09-07T06:34:00Z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3DA01801125ED8334E50B2698BE1C840_41</vt:lpwstr>
  </property>
  <property fmtid="{D5CDD505-2E9C-101B-9397-08002B2CF9AE}" pid="4" name="KSOTemplateDocerSaveRecord">
    <vt:lpwstr>eyJoZGlkIjoiMDU0MGVkZThiZTgzY2U3NjI4NGY5NTEwN2E0OWM2YjIiLCJ1c2VySWQiOiIyNzA5NDEyNTEifQ==</vt:lpwstr>
  </property>
</Properties>
</file>